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B2E" w14:textId="70AFC1B5" w:rsidR="00E822FE" w:rsidRPr="009F7E06" w:rsidRDefault="007C21C9" w:rsidP="006E1F65">
      <w:pPr>
        <w:rPr>
          <w:rFonts w:cstheme="minorHAnsi"/>
          <w:b/>
          <w:lang w:val="de-DE"/>
        </w:rPr>
      </w:pPr>
      <w:r w:rsidRPr="009F7E06">
        <w:rPr>
          <w:rFonts w:cstheme="minorHAnsi"/>
          <w:b/>
          <w:lang w:val="de-DE"/>
        </w:rPr>
        <w:t>Publikationsverzeichnis</w:t>
      </w:r>
      <w:r w:rsidR="00D24AB3" w:rsidRPr="009F7E06">
        <w:rPr>
          <w:rFonts w:cstheme="minorHAnsi"/>
          <w:b/>
          <w:lang w:val="de-DE"/>
        </w:rPr>
        <w:t xml:space="preserve"> Dr. Isabelle Ley</w:t>
      </w:r>
    </w:p>
    <w:p w14:paraId="0EA8FB2F" w14:textId="55867273" w:rsidR="00D24AB3" w:rsidRPr="004B7549" w:rsidRDefault="00AA2F87" w:rsidP="006E1F65">
      <w:pPr>
        <w:rPr>
          <w:rFonts w:cstheme="minorHAnsi"/>
          <w:sz w:val="20"/>
          <w:szCs w:val="20"/>
          <w:lang w:val="de-DE"/>
        </w:rPr>
      </w:pPr>
      <w:r w:rsidRPr="004B7549">
        <w:rPr>
          <w:rFonts w:cstheme="minorHAnsi"/>
          <w:sz w:val="20"/>
          <w:szCs w:val="20"/>
          <w:lang w:val="de-DE"/>
        </w:rPr>
        <w:t xml:space="preserve">Stand </w:t>
      </w:r>
      <w:r w:rsidR="008370BF">
        <w:rPr>
          <w:rFonts w:cstheme="minorHAnsi"/>
          <w:sz w:val="20"/>
          <w:szCs w:val="20"/>
          <w:lang w:val="de-DE"/>
        </w:rPr>
        <w:t>07</w:t>
      </w:r>
      <w:r w:rsidRPr="004B7549">
        <w:rPr>
          <w:rFonts w:cstheme="minorHAnsi"/>
          <w:sz w:val="20"/>
          <w:szCs w:val="20"/>
          <w:lang w:val="de-DE"/>
        </w:rPr>
        <w:t>/202</w:t>
      </w:r>
      <w:r w:rsidR="008370BF">
        <w:rPr>
          <w:rFonts w:cstheme="minorHAnsi"/>
          <w:sz w:val="20"/>
          <w:szCs w:val="20"/>
          <w:lang w:val="de-DE"/>
        </w:rPr>
        <w:t>3</w:t>
      </w:r>
    </w:p>
    <w:p w14:paraId="0EA8FB30" w14:textId="77777777" w:rsidR="00AA2F87" w:rsidRPr="009F7E06" w:rsidRDefault="00AA2F87">
      <w:pPr>
        <w:rPr>
          <w:rFonts w:cstheme="minorHAnsi"/>
          <w:lang w:val="de-DE"/>
        </w:rPr>
      </w:pPr>
    </w:p>
    <w:p w14:paraId="0EA8FB31" w14:textId="6475A512" w:rsidR="00D24AB3" w:rsidRPr="009F7E06" w:rsidRDefault="00B7390C" w:rsidP="00441957">
      <w:pPr>
        <w:rPr>
          <w:rFonts w:cstheme="minorHAnsi"/>
          <w:b/>
          <w:lang w:val="de-DE"/>
        </w:rPr>
      </w:pPr>
      <w:r w:rsidRPr="009F7E06">
        <w:rPr>
          <w:rFonts w:cstheme="minorHAnsi"/>
          <w:b/>
          <w:lang w:val="de-DE"/>
        </w:rPr>
        <w:t>Monographien</w:t>
      </w:r>
      <w:r w:rsidR="00616B5C" w:rsidRPr="009F7E06">
        <w:rPr>
          <w:rFonts w:cstheme="minorHAnsi"/>
          <w:b/>
          <w:lang w:val="de-DE"/>
        </w:rPr>
        <w:t>, Herausgeberschaften</w:t>
      </w:r>
    </w:p>
    <w:p w14:paraId="4836DD9B" w14:textId="1A392518" w:rsidR="008370BF" w:rsidRDefault="008370BF" w:rsidP="00E203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Isabelle Ley / Tine Stein / Georg Essen, Semper </w:t>
      </w:r>
      <w:proofErr w:type="spellStart"/>
      <w:r>
        <w:rPr>
          <w:rFonts w:cstheme="minorHAnsi"/>
          <w:lang w:val="de-DE"/>
        </w:rPr>
        <w:t>reformanda</w:t>
      </w:r>
      <w:proofErr w:type="spellEnd"/>
      <w:r>
        <w:rPr>
          <w:rFonts w:cstheme="minorHAnsi"/>
          <w:lang w:val="de-DE"/>
        </w:rPr>
        <w:t xml:space="preserve"> – Das Verhältnis von Staat und Religionsgemeinschaften auf dem Prüfstand, Verlag Herder: Freiburg, 2023, 384 S. </w:t>
      </w:r>
    </w:p>
    <w:p w14:paraId="0EA8FB32" w14:textId="3F0F4780" w:rsidR="00D24AB3" w:rsidRPr="008370BF" w:rsidRDefault="00D24AB3" w:rsidP="00E203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333333"/>
          <w:spacing w:val="-8"/>
          <w:lang w:val="en-US"/>
        </w:rPr>
      </w:pPr>
      <w:r w:rsidRPr="008370BF">
        <w:rPr>
          <w:rFonts w:cstheme="minorHAnsi"/>
          <w:lang w:val="en-US"/>
        </w:rPr>
        <w:t>Anne Peters / Isabelle Ley (</w:t>
      </w:r>
      <w:proofErr w:type="spellStart"/>
      <w:r w:rsidRPr="008370BF">
        <w:rPr>
          <w:rFonts w:cstheme="minorHAnsi"/>
          <w:lang w:val="en-US"/>
        </w:rPr>
        <w:t>Hrsg</w:t>
      </w:r>
      <w:proofErr w:type="spellEnd"/>
      <w:r w:rsidRPr="008370BF">
        <w:rPr>
          <w:rFonts w:cstheme="minorHAnsi"/>
          <w:lang w:val="en-US"/>
        </w:rPr>
        <w:t>.), The Freedom of Peaceful Assembly</w:t>
      </w:r>
      <w:r w:rsidR="00300BF5" w:rsidRPr="008370BF">
        <w:rPr>
          <w:rFonts w:cstheme="minorHAnsi"/>
          <w:lang w:val="en-US"/>
        </w:rPr>
        <w:t xml:space="preserve"> in Europe</w:t>
      </w:r>
      <w:r w:rsidRPr="008370BF">
        <w:rPr>
          <w:rFonts w:cstheme="minorHAnsi"/>
          <w:lang w:val="en-US"/>
        </w:rPr>
        <w:t>, Baden-Baden 2016, Nomos</w:t>
      </w:r>
      <w:r w:rsidR="00E2032C" w:rsidRPr="008370BF">
        <w:rPr>
          <w:rFonts w:cstheme="minorHAnsi"/>
          <w:lang w:val="en-US"/>
        </w:rPr>
        <w:t>,</w:t>
      </w:r>
      <w:r w:rsidR="00E047E5" w:rsidRPr="008370BF">
        <w:rPr>
          <w:rFonts w:cstheme="minorHAnsi"/>
          <w:lang w:val="en-US"/>
        </w:rPr>
        <w:t xml:space="preserve"> </w:t>
      </w:r>
      <w:r w:rsidR="00293058" w:rsidRPr="008370BF">
        <w:rPr>
          <w:rFonts w:cstheme="minorHAnsi"/>
          <w:lang w:val="en-US"/>
        </w:rPr>
        <w:t>DOI</w:t>
      </w:r>
      <w:r w:rsidR="00E2032C" w:rsidRPr="008370BF">
        <w:rPr>
          <w:rFonts w:cstheme="minorHAnsi"/>
          <w:lang w:val="en-US"/>
        </w:rPr>
        <w:t xml:space="preserve">: </w:t>
      </w:r>
      <w:hyperlink r:id="rId7" w:history="1">
        <w:hyperlink r:id="rId8" w:tooltip="https://doi.org/10.5771/9783845266084" w:history="1">
          <w:r w:rsidR="00E2032C" w:rsidRPr="008370BF">
            <w:rPr>
              <w:rStyle w:val="Hyperlink"/>
              <w:rFonts w:cstheme="minorHAnsi"/>
              <w:bCs/>
              <w:spacing w:val="-8"/>
              <w:lang w:val="en-US"/>
            </w:rPr>
            <w:t>doi.org/10.5771/9783845266084</w:t>
          </w:r>
        </w:hyperlink>
      </w:hyperlink>
      <w:r w:rsidR="00E2032C" w:rsidRPr="008370BF">
        <w:rPr>
          <w:rFonts w:cstheme="minorHAnsi"/>
          <w:bCs/>
          <w:color w:val="333333"/>
          <w:spacing w:val="-8"/>
          <w:lang w:val="en-US"/>
        </w:rPr>
        <w:t>.</w:t>
      </w:r>
      <w:r w:rsidRPr="008370BF">
        <w:rPr>
          <w:rFonts w:cstheme="minorHAnsi"/>
          <w:lang w:val="en-US"/>
        </w:rPr>
        <w:t xml:space="preserve"> </w:t>
      </w:r>
    </w:p>
    <w:p w14:paraId="0EA8FB33" w14:textId="32E8F474" w:rsidR="00D24AB3" w:rsidRPr="009F7E06" w:rsidRDefault="00D24AB3" w:rsidP="009F60CE">
      <w:pPr>
        <w:spacing w:after="60"/>
        <w:rPr>
          <w:rFonts w:cstheme="minorHAnsi"/>
          <w:lang w:val="de-DE"/>
        </w:rPr>
      </w:pPr>
      <w:r w:rsidRPr="008230FF">
        <w:rPr>
          <w:rFonts w:cstheme="minorHAnsi"/>
          <w:lang w:val="de-DE"/>
        </w:rPr>
        <w:t>Opposition im Völkerrecht – Ein Beitrag zur Legitimation internationaler Rechtserzeugung, Heidelberg 2015, Springer Verlag</w:t>
      </w:r>
      <w:r w:rsidR="008D47DB" w:rsidRPr="008230FF">
        <w:rPr>
          <w:rFonts w:cstheme="minorHAnsi"/>
          <w:lang w:val="de-DE"/>
        </w:rPr>
        <w:t>, DOI:</w:t>
      </w:r>
      <w:r w:rsidR="00341CAA" w:rsidRPr="008230FF">
        <w:rPr>
          <w:rFonts w:cstheme="minorHAnsi"/>
          <w:lang w:val="de-DE"/>
        </w:rPr>
        <w:t xml:space="preserve"> </w:t>
      </w:r>
      <w:hyperlink r:id="rId9" w:history="1">
        <w:r w:rsidR="00341CAA" w:rsidRPr="008230FF">
          <w:rPr>
            <w:rStyle w:val="Hyperlink"/>
            <w:rFonts w:cstheme="minorHAnsi"/>
            <w:shd w:val="clear" w:color="auto" w:fill="FFFFFF"/>
            <w:lang w:val="de-DE"/>
          </w:rPr>
          <w:t>https://doi.org/10.1007/978-3-662-44452-8</w:t>
        </w:r>
      </w:hyperlink>
      <w:r w:rsidR="00341CAA" w:rsidRPr="00341CAA">
        <w:rPr>
          <w:rFonts w:ascii="Segoe UI" w:hAnsi="Segoe UI" w:cs="Segoe UI"/>
          <w:color w:val="333333"/>
          <w:shd w:val="clear" w:color="auto" w:fill="FFFFFF"/>
          <w:lang w:val="de-DE"/>
        </w:rPr>
        <w:t>.</w:t>
      </w:r>
      <w:r w:rsidR="008D47DB">
        <w:rPr>
          <w:rFonts w:cstheme="minorHAnsi"/>
          <w:lang w:val="de-DE"/>
        </w:rPr>
        <w:t xml:space="preserve"> </w:t>
      </w:r>
    </w:p>
    <w:p w14:paraId="3108DCCD" w14:textId="77777777" w:rsidR="00981108" w:rsidRPr="00981108" w:rsidRDefault="0030142F" w:rsidP="002A47F1">
      <w:pPr>
        <w:spacing w:after="60"/>
        <w:rPr>
          <w:rFonts w:cstheme="minorHAnsi"/>
          <w:lang w:val="nl-NL"/>
        </w:rPr>
      </w:pPr>
      <w:r w:rsidRPr="00981108">
        <w:rPr>
          <w:rFonts w:cstheme="minorHAnsi"/>
          <w:lang w:val="nl-NL"/>
        </w:rPr>
        <w:t xml:space="preserve">Rezensionen von: </w:t>
      </w:r>
    </w:p>
    <w:p w14:paraId="491D1A94" w14:textId="2ECE07AA" w:rsidR="00573D25" w:rsidRPr="00B41CDE" w:rsidRDefault="0030142F" w:rsidP="00B7351D">
      <w:pPr>
        <w:pStyle w:val="Listenabsatz"/>
        <w:numPr>
          <w:ilvl w:val="0"/>
          <w:numId w:val="1"/>
        </w:numPr>
        <w:ind w:left="714" w:hanging="357"/>
        <w:rPr>
          <w:rFonts w:cstheme="minorHAnsi"/>
          <w:lang w:val="nl-NL"/>
        </w:rPr>
      </w:pPr>
      <w:r w:rsidRPr="00B41CDE">
        <w:rPr>
          <w:rFonts w:cstheme="minorHAnsi"/>
          <w:i/>
          <w:lang w:val="nl-NL"/>
        </w:rPr>
        <w:t xml:space="preserve">Jan </w:t>
      </w:r>
      <w:proofErr w:type="spellStart"/>
      <w:r w:rsidRPr="00B41CDE">
        <w:rPr>
          <w:rFonts w:cstheme="minorHAnsi"/>
          <w:i/>
          <w:lang w:val="nl-NL"/>
        </w:rPr>
        <w:t>Klabbers</w:t>
      </w:r>
      <w:proofErr w:type="spellEnd"/>
      <w:r w:rsidRPr="00B41CDE">
        <w:rPr>
          <w:rFonts w:cstheme="minorHAnsi"/>
          <w:lang w:val="nl-NL"/>
        </w:rPr>
        <w:t>, EJIL 26 (2015), 774-776</w:t>
      </w:r>
      <w:r w:rsidR="00462C85" w:rsidRPr="00B41CDE">
        <w:rPr>
          <w:rFonts w:cstheme="minorHAnsi"/>
          <w:lang w:val="nl-NL"/>
        </w:rPr>
        <w:t xml:space="preserve"> </w:t>
      </w:r>
      <w:r w:rsidR="00B41CDE" w:rsidRPr="00B41CDE">
        <w:rPr>
          <w:rFonts w:cstheme="minorHAnsi"/>
          <w:lang w:val="nl-NL"/>
        </w:rPr>
        <w:t>(</w:t>
      </w:r>
      <w:hyperlink r:id="rId10" w:history="1">
        <w:r w:rsidR="00B41CDE" w:rsidRPr="00B41CDE">
          <w:rPr>
            <w:rStyle w:val="Hyperlink"/>
            <w:rFonts w:cstheme="minorHAnsi"/>
            <w:lang w:val="nl-NL"/>
          </w:rPr>
          <w:t>open access</w:t>
        </w:r>
      </w:hyperlink>
      <w:r w:rsidR="00F96539">
        <w:rPr>
          <w:rFonts w:cstheme="minorHAnsi"/>
          <w:lang w:val="nl-NL"/>
        </w:rPr>
        <w:t>)</w:t>
      </w:r>
    </w:p>
    <w:p w14:paraId="734688BD" w14:textId="65B02C90" w:rsidR="00573D25" w:rsidRDefault="0030142F" w:rsidP="00B7351D">
      <w:pPr>
        <w:pStyle w:val="Listenabsatz"/>
        <w:numPr>
          <w:ilvl w:val="0"/>
          <w:numId w:val="1"/>
        </w:numPr>
        <w:ind w:left="714" w:hanging="357"/>
        <w:rPr>
          <w:rFonts w:cstheme="minorHAnsi"/>
          <w:lang w:val="de-DE"/>
        </w:rPr>
      </w:pPr>
      <w:r w:rsidRPr="009F7E06">
        <w:rPr>
          <w:rFonts w:cstheme="minorHAnsi"/>
          <w:i/>
          <w:lang w:val="de-DE"/>
        </w:rPr>
        <w:t>Niels Petersen</w:t>
      </w:r>
      <w:r w:rsidRPr="009F7E06">
        <w:rPr>
          <w:rFonts w:cstheme="minorHAnsi"/>
          <w:lang w:val="de-DE"/>
        </w:rPr>
        <w:t xml:space="preserve">, AVR 53:2 (2015), </w:t>
      </w:r>
      <w:r w:rsidR="00193F6C" w:rsidRPr="009F7E06">
        <w:rPr>
          <w:rFonts w:cstheme="minorHAnsi"/>
          <w:lang w:val="de-DE"/>
        </w:rPr>
        <w:t xml:space="preserve">S. </w:t>
      </w:r>
      <w:r w:rsidRPr="009F7E06">
        <w:rPr>
          <w:rFonts w:cstheme="minorHAnsi"/>
          <w:lang w:val="de-DE"/>
        </w:rPr>
        <w:t>275-277</w:t>
      </w:r>
    </w:p>
    <w:p w14:paraId="685B76EB" w14:textId="32AA6BCD" w:rsidR="0030142F" w:rsidRPr="009F7E06" w:rsidRDefault="0030142F" w:rsidP="00B7351D">
      <w:pPr>
        <w:pStyle w:val="Listenabsatz"/>
        <w:numPr>
          <w:ilvl w:val="0"/>
          <w:numId w:val="1"/>
        </w:numPr>
        <w:ind w:left="714" w:hanging="357"/>
        <w:rPr>
          <w:rFonts w:cstheme="minorHAnsi"/>
          <w:lang w:val="de-DE"/>
        </w:rPr>
      </w:pPr>
      <w:r w:rsidRPr="009F7E06">
        <w:rPr>
          <w:rFonts w:cstheme="minorHAnsi"/>
          <w:i/>
          <w:lang w:val="de-DE"/>
        </w:rPr>
        <w:t xml:space="preserve">Bardo </w:t>
      </w:r>
      <w:proofErr w:type="spellStart"/>
      <w:r w:rsidRPr="009F7E06">
        <w:rPr>
          <w:rFonts w:cstheme="minorHAnsi"/>
          <w:i/>
          <w:lang w:val="de-DE"/>
        </w:rPr>
        <w:t>Fassbender</w:t>
      </w:r>
      <w:proofErr w:type="spellEnd"/>
      <w:r w:rsidRPr="009F7E06">
        <w:rPr>
          <w:rFonts w:cstheme="minorHAnsi"/>
          <w:lang w:val="de-DE"/>
        </w:rPr>
        <w:t xml:space="preserve">, </w:t>
      </w:r>
      <w:proofErr w:type="spellStart"/>
      <w:r w:rsidRPr="009F7E06">
        <w:rPr>
          <w:rFonts w:cstheme="minorHAnsi"/>
          <w:lang w:val="de-DE"/>
        </w:rPr>
        <w:t>ZaöRV</w:t>
      </w:r>
      <w:proofErr w:type="spellEnd"/>
      <w:r w:rsidRPr="009F7E06">
        <w:rPr>
          <w:rFonts w:cstheme="minorHAnsi"/>
          <w:lang w:val="de-DE"/>
        </w:rPr>
        <w:t xml:space="preserve"> 75 (2015), 925-930</w:t>
      </w:r>
      <w:r w:rsidR="00B41CDE">
        <w:rPr>
          <w:rFonts w:cstheme="minorHAnsi"/>
          <w:lang w:val="de-DE"/>
        </w:rPr>
        <w:t xml:space="preserve"> (</w:t>
      </w:r>
      <w:hyperlink r:id="rId11" w:history="1">
        <w:hyperlink r:id="rId12" w:history="1">
          <w:r w:rsidR="00AE03C0" w:rsidRPr="00AE03C0">
            <w:rPr>
              <w:rStyle w:val="Hyperlink"/>
              <w:rFonts w:cstheme="minorHAnsi"/>
              <w:lang w:val="de-DE"/>
            </w:rPr>
            <w:t>open</w:t>
          </w:r>
        </w:hyperlink>
        <w:r w:rsidR="00AE03C0" w:rsidRPr="00AE03C0">
          <w:rPr>
            <w:rStyle w:val="Hyperlink"/>
            <w:rFonts w:cstheme="minorHAnsi"/>
            <w:lang w:val="de-DE"/>
          </w:rPr>
          <w:t xml:space="preserve"> </w:t>
        </w:r>
        <w:proofErr w:type="spellStart"/>
        <w:r w:rsidR="00AE03C0" w:rsidRPr="00AE03C0">
          <w:rPr>
            <w:rStyle w:val="Hyperlink"/>
            <w:rFonts w:cstheme="minorHAnsi"/>
            <w:lang w:val="de-DE"/>
          </w:rPr>
          <w:t>access</w:t>
        </w:r>
        <w:proofErr w:type="spellEnd"/>
      </w:hyperlink>
      <w:r w:rsidR="00B37383">
        <w:rPr>
          <w:rFonts w:cstheme="minorHAnsi"/>
          <w:lang w:val="de-DE"/>
        </w:rPr>
        <w:t xml:space="preserve">) </w:t>
      </w:r>
    </w:p>
    <w:p w14:paraId="0EA8FB36" w14:textId="5D9D77B3" w:rsidR="00D24AB3" w:rsidRPr="009F7E06" w:rsidRDefault="00D24AB3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Ingolf Pernice / Benjamin von Engelhardt / Sarah Krieg / Isabelle Ley / Osvaldo Saldias (Hrsg.), Europa jenseits seiner Grenzen – Politologisch, historische und juristische Perspektiven, Baden-Baden 2009, Nomos.  </w:t>
      </w:r>
    </w:p>
    <w:p w14:paraId="7D05FECB" w14:textId="77777777" w:rsidR="00441957" w:rsidRPr="009F7E06" w:rsidRDefault="00441957">
      <w:pPr>
        <w:rPr>
          <w:rFonts w:cstheme="minorHAnsi"/>
          <w:lang w:val="de-DE"/>
        </w:rPr>
      </w:pPr>
    </w:p>
    <w:p w14:paraId="0EA8FB37" w14:textId="6654F3BC" w:rsidR="00D24AB3" w:rsidRPr="009F7E06" w:rsidRDefault="00B7390C" w:rsidP="00441957">
      <w:pPr>
        <w:rPr>
          <w:rFonts w:cstheme="minorHAnsi"/>
          <w:b/>
          <w:lang w:val="de-DE"/>
        </w:rPr>
      </w:pPr>
      <w:r w:rsidRPr="009F7E06">
        <w:rPr>
          <w:rFonts w:cstheme="minorHAnsi"/>
          <w:b/>
          <w:lang w:val="de-DE"/>
        </w:rPr>
        <w:t>Aufsätze</w:t>
      </w:r>
      <w:r w:rsidR="009C0D56" w:rsidRPr="009F7E06">
        <w:rPr>
          <w:rFonts w:cstheme="minorHAnsi"/>
          <w:b/>
          <w:lang w:val="de-DE"/>
        </w:rPr>
        <w:t xml:space="preserve">, </w:t>
      </w:r>
      <w:r w:rsidR="00CC0855" w:rsidRPr="009F7E06">
        <w:rPr>
          <w:rFonts w:cstheme="minorHAnsi"/>
          <w:b/>
          <w:lang w:val="de-DE"/>
        </w:rPr>
        <w:t xml:space="preserve">Sammelbandbeiträge </w:t>
      </w:r>
    </w:p>
    <w:p w14:paraId="4EE32410" w14:textId="111BF09F" w:rsidR="002F6BC4" w:rsidRDefault="00840AD6" w:rsidP="00DA3A7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Religionsverfassungsrecht auf dem Prüfst</w:t>
      </w:r>
      <w:r w:rsidR="00AE3CE7">
        <w:rPr>
          <w:rFonts w:cstheme="minorHAnsi"/>
          <w:lang w:val="de-DE"/>
        </w:rPr>
        <w:t>and</w:t>
      </w:r>
      <w:r>
        <w:rPr>
          <w:rFonts w:cstheme="minorHAnsi"/>
          <w:lang w:val="de-DE"/>
        </w:rPr>
        <w:t>:</w:t>
      </w:r>
      <w:r w:rsidR="00AE3CE7">
        <w:rPr>
          <w:rFonts w:cstheme="minorHAnsi"/>
          <w:lang w:val="de-DE"/>
        </w:rPr>
        <w:t xml:space="preserve"> Zur Weiterentwicklung des Verhältnisses von Staat und Religionen, in: </w:t>
      </w:r>
      <w:r w:rsidR="00AE3CE7">
        <w:rPr>
          <w:rFonts w:cstheme="minorHAnsi"/>
          <w:lang w:val="de-DE"/>
        </w:rPr>
        <w:t xml:space="preserve">Isabelle Ley / Tine Stein / Georg Essen, Semper </w:t>
      </w:r>
      <w:proofErr w:type="spellStart"/>
      <w:r w:rsidR="00AE3CE7">
        <w:rPr>
          <w:rFonts w:cstheme="minorHAnsi"/>
          <w:lang w:val="de-DE"/>
        </w:rPr>
        <w:t>reformanda</w:t>
      </w:r>
      <w:proofErr w:type="spellEnd"/>
      <w:r w:rsidR="00AE3CE7">
        <w:rPr>
          <w:rFonts w:cstheme="minorHAnsi"/>
          <w:lang w:val="de-DE"/>
        </w:rPr>
        <w:t xml:space="preserve"> – Das Verhältnis von Staat und Religionsgemeinschaften auf dem Prüfstand, Freiburg 2023,</w:t>
      </w:r>
      <w:r w:rsidR="00AE3CE7">
        <w:rPr>
          <w:rFonts w:cstheme="minorHAnsi"/>
          <w:lang w:val="de-DE"/>
        </w:rPr>
        <w:t xml:space="preserve"> </w:t>
      </w:r>
      <w:r w:rsidR="00CC37F4">
        <w:rPr>
          <w:rFonts w:cstheme="minorHAnsi"/>
          <w:lang w:val="de-DE"/>
        </w:rPr>
        <w:t xml:space="preserve">46-60. </w:t>
      </w:r>
    </w:p>
    <w:p w14:paraId="5DFE541C" w14:textId="06746361" w:rsidR="002F6BC4" w:rsidRDefault="00C600F2" w:rsidP="00DA3A73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Reformbedarf des Religionsverfassungsrechts und der Religionsgemeinschaften, in: Isabelle Ley / Tine Stein / Georg Essen, Semper </w:t>
      </w:r>
      <w:proofErr w:type="spellStart"/>
      <w:r>
        <w:rPr>
          <w:rFonts w:cstheme="minorHAnsi"/>
          <w:lang w:val="de-DE"/>
        </w:rPr>
        <w:t>reformanda</w:t>
      </w:r>
      <w:proofErr w:type="spellEnd"/>
      <w:r>
        <w:rPr>
          <w:rFonts w:cstheme="minorHAnsi"/>
          <w:lang w:val="de-DE"/>
        </w:rPr>
        <w:t xml:space="preserve"> – Das Verhältnis von Staat und Religionsgemeinschaften auf dem Prüfst</w:t>
      </w:r>
      <w:r w:rsidR="00840AD6">
        <w:rPr>
          <w:rFonts w:cstheme="minorHAnsi"/>
          <w:lang w:val="de-DE"/>
        </w:rPr>
        <w:t>and</w:t>
      </w:r>
      <w:r>
        <w:rPr>
          <w:rFonts w:cstheme="minorHAnsi"/>
          <w:lang w:val="de-DE"/>
        </w:rPr>
        <w:t xml:space="preserve">, Freiburg 2023, </w:t>
      </w:r>
      <w:r w:rsidR="002F6BC4">
        <w:rPr>
          <w:rFonts w:cstheme="minorHAnsi"/>
          <w:lang w:val="de-DE"/>
        </w:rPr>
        <w:t xml:space="preserve">9-27. </w:t>
      </w:r>
    </w:p>
    <w:p w14:paraId="1BE8D946" w14:textId="54BD0255" w:rsidR="00AE4D20" w:rsidRPr="008235B1" w:rsidRDefault="00DA3A73" w:rsidP="00DA3A73">
      <w:pPr>
        <w:rPr>
          <w:rFonts w:cstheme="minorHAnsi"/>
          <w:lang w:val="de-DE"/>
        </w:rPr>
      </w:pPr>
      <w:r w:rsidRPr="008235B1">
        <w:rPr>
          <w:rFonts w:cstheme="minorHAnsi"/>
          <w:lang w:val="de-DE"/>
        </w:rPr>
        <w:t xml:space="preserve">Das Politische der Gemeinnützigkeit: Das Vereinsrecht zwischen Steuerrecht, Gefahrenabwehr und Antidiskriminierung, in: Die Verwaltung </w:t>
      </w:r>
      <w:r w:rsidR="00D00F80" w:rsidRPr="008235B1">
        <w:rPr>
          <w:rFonts w:cstheme="minorHAnsi"/>
          <w:lang w:val="de-DE"/>
        </w:rPr>
        <w:t xml:space="preserve">55:4 (2022), </w:t>
      </w:r>
      <w:r w:rsidR="00B143E9" w:rsidRPr="008235B1">
        <w:rPr>
          <w:rFonts w:cstheme="minorHAnsi"/>
          <w:lang w:val="de-DE"/>
        </w:rPr>
        <w:t>497-526</w:t>
      </w:r>
      <w:r w:rsidR="008235B1" w:rsidRPr="008235B1">
        <w:rPr>
          <w:rFonts w:cstheme="minorHAnsi"/>
          <w:lang w:val="de-DE"/>
        </w:rPr>
        <w:t xml:space="preserve">, DOI: </w:t>
      </w:r>
      <w:hyperlink r:id="rId13" w:tgtFrame="_parent" w:history="1">
        <w:r w:rsidR="008235B1" w:rsidRPr="008235B1">
          <w:rPr>
            <w:rStyle w:val="Hyperlink"/>
            <w:rFonts w:cstheme="minorHAnsi"/>
            <w:color w:val="0070C0"/>
            <w:shd w:val="clear" w:color="auto" w:fill="FFFFFF"/>
            <w:lang w:val="de-DE"/>
          </w:rPr>
          <w:t>https://doi.org/10.3790/verw.55.4.497</w:t>
        </w:r>
      </w:hyperlink>
      <w:r w:rsidR="008235B1" w:rsidRPr="008235B1">
        <w:rPr>
          <w:rFonts w:cstheme="minorHAnsi"/>
          <w:color w:val="0070C0"/>
          <w:lang w:val="de-DE"/>
        </w:rPr>
        <w:t>.</w:t>
      </w:r>
    </w:p>
    <w:p w14:paraId="0EA8FB39" w14:textId="7F784F8B" w:rsidR="00AE4AC3" w:rsidRPr="009F7E06" w:rsidRDefault="00AE4AC3" w:rsidP="00F4704F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Drittwirkung als Erstwirkung? </w:t>
      </w:r>
      <w:r w:rsidR="009E29BD" w:rsidRPr="009F7E06">
        <w:rPr>
          <w:rFonts w:cstheme="minorHAnsi"/>
          <w:lang w:val="de-DE"/>
        </w:rPr>
        <w:t xml:space="preserve">Die Bedeutung der Unterscheidung zwischen öffentlichem </w:t>
      </w:r>
      <w:r w:rsidR="00795D4F">
        <w:rPr>
          <w:rFonts w:cstheme="minorHAnsi"/>
          <w:lang w:val="de-DE"/>
        </w:rPr>
        <w:t xml:space="preserve">Recht </w:t>
      </w:r>
      <w:r w:rsidR="009E29BD" w:rsidRPr="009F7E06">
        <w:rPr>
          <w:rFonts w:cstheme="minorHAnsi"/>
          <w:lang w:val="de-DE"/>
        </w:rPr>
        <w:t>und Privatrecht für die Grundrechtstheorie</w:t>
      </w:r>
      <w:r w:rsidRPr="009F7E06">
        <w:rPr>
          <w:rFonts w:cstheme="minorHAnsi"/>
          <w:lang w:val="de-DE"/>
        </w:rPr>
        <w:t>,</w:t>
      </w:r>
      <w:r w:rsidR="00900861" w:rsidRPr="009F7E06">
        <w:rPr>
          <w:rFonts w:cstheme="minorHAnsi"/>
          <w:lang w:val="de-DE"/>
        </w:rPr>
        <w:t xml:space="preserve"> </w:t>
      </w:r>
      <w:r w:rsidR="005457DB" w:rsidRPr="009F7E06">
        <w:rPr>
          <w:rFonts w:cstheme="minorHAnsi"/>
          <w:lang w:val="de-DE"/>
        </w:rPr>
        <w:t xml:space="preserve">in: </w:t>
      </w:r>
      <w:r w:rsidR="002D7399" w:rsidRPr="009F7E06">
        <w:rPr>
          <w:rFonts w:cstheme="minorHAnsi"/>
          <w:lang w:val="de-DE"/>
        </w:rPr>
        <w:t>ARSP</w:t>
      </w:r>
      <w:r w:rsidR="00BC0A02" w:rsidRPr="009F7E06">
        <w:rPr>
          <w:rFonts w:cstheme="minorHAnsi"/>
          <w:lang w:val="de-DE"/>
        </w:rPr>
        <w:t xml:space="preserve"> 107:</w:t>
      </w:r>
      <w:r w:rsidR="00C24245">
        <w:rPr>
          <w:rFonts w:cstheme="minorHAnsi"/>
          <w:lang w:val="de-DE"/>
        </w:rPr>
        <w:t xml:space="preserve">3 </w:t>
      </w:r>
      <w:r w:rsidR="00BC0A02" w:rsidRPr="009F7E06">
        <w:rPr>
          <w:rFonts w:cstheme="minorHAnsi"/>
          <w:lang w:val="de-DE"/>
        </w:rPr>
        <w:t>(</w:t>
      </w:r>
      <w:r w:rsidR="00277979" w:rsidRPr="009F7E06">
        <w:rPr>
          <w:rFonts w:cstheme="minorHAnsi"/>
          <w:lang w:val="de-DE"/>
        </w:rPr>
        <w:t>2022</w:t>
      </w:r>
      <w:r w:rsidR="00BC0A02" w:rsidRPr="009F7E06">
        <w:rPr>
          <w:rFonts w:cstheme="minorHAnsi"/>
          <w:lang w:val="de-DE"/>
        </w:rPr>
        <w:t>)</w:t>
      </w:r>
      <w:r w:rsidR="00934A32" w:rsidRPr="009F7E06">
        <w:rPr>
          <w:rFonts w:cstheme="minorHAnsi"/>
          <w:lang w:val="de-DE"/>
        </w:rPr>
        <w:t>,</w:t>
      </w:r>
      <w:r w:rsidR="009D0FF0" w:rsidRPr="009F7E06">
        <w:rPr>
          <w:rFonts w:cstheme="minorHAnsi"/>
          <w:lang w:val="de-DE"/>
        </w:rPr>
        <w:t xml:space="preserve"> </w:t>
      </w:r>
      <w:r w:rsidR="00900861">
        <w:rPr>
          <w:rFonts w:cstheme="minorHAnsi"/>
          <w:lang w:val="de-DE"/>
        </w:rPr>
        <w:t xml:space="preserve">S. 412-443, </w:t>
      </w:r>
      <w:r w:rsidR="009D0FF0" w:rsidRPr="00247845">
        <w:rPr>
          <w:rFonts w:cstheme="minorHAnsi"/>
          <w:bCs/>
          <w:lang w:val="de-DE"/>
        </w:rPr>
        <w:t>DOI:</w:t>
      </w:r>
      <w:r w:rsidR="009D0FF0" w:rsidRPr="009F7E06">
        <w:rPr>
          <w:rFonts w:cstheme="minorHAnsi"/>
          <w:lang w:val="de-DE"/>
        </w:rPr>
        <w:t xml:space="preserve"> </w:t>
      </w:r>
      <w:hyperlink r:id="rId14" w:history="1">
        <w:r w:rsidR="00F4704F" w:rsidRPr="00247845">
          <w:rPr>
            <w:rStyle w:val="Hyperlink"/>
            <w:rFonts w:cstheme="minorHAnsi"/>
            <w:lang w:val="de-DE"/>
          </w:rPr>
          <w:t>https://doi.org/10.25162/arsp-2021-0025</w:t>
        </w:r>
      </w:hyperlink>
      <w:r w:rsidR="00326D21">
        <w:rPr>
          <w:rFonts w:cstheme="minorHAnsi"/>
          <w:lang w:val="de-DE"/>
        </w:rPr>
        <w:t xml:space="preserve">. </w:t>
      </w:r>
      <w:r w:rsidR="00692D31" w:rsidRPr="009F7E06">
        <w:rPr>
          <w:rFonts w:cstheme="minorHAnsi"/>
          <w:lang w:val="de-DE"/>
        </w:rPr>
        <w:t xml:space="preserve"> </w:t>
      </w:r>
    </w:p>
    <w:p w14:paraId="1C7AAF81" w14:textId="77777777" w:rsidR="00685863" w:rsidRPr="005F764C" w:rsidRDefault="00685863" w:rsidP="00685863">
      <w:pPr>
        <w:rPr>
          <w:rFonts w:cstheme="minorHAnsi"/>
          <w:lang w:val="de-DE"/>
        </w:rPr>
      </w:pPr>
      <w:r w:rsidRPr="005F764C">
        <w:rPr>
          <w:rFonts w:cstheme="minorHAnsi"/>
          <w:lang w:val="de-DE"/>
        </w:rPr>
        <w:t xml:space="preserve">Zwischen parlamentarischer Routine und exekutiven Kernbereichen: Die Kompetenzverteilung der auswärtigen Gewalt von Parlament und Regierung unter dem Grundgesetz, in: Archiv des öffentlichen Rechts 146:2 (2021), 299-352, DOI: </w:t>
      </w:r>
      <w:hyperlink r:id="rId15" w:history="1">
        <w:r w:rsidRPr="00CE4D97">
          <w:rPr>
            <w:rStyle w:val="Hyperlink"/>
            <w:rFonts w:cstheme="minorHAnsi"/>
            <w:lang w:val="de-DE"/>
          </w:rPr>
          <w:t>https://doi.org/</w:t>
        </w:r>
        <w:hyperlink r:id="rId16" w:tgtFrame="_blank" w:history="1">
          <w:r w:rsidRPr="00CE4D97">
            <w:rPr>
              <w:rStyle w:val="Hyperlink"/>
              <w:rFonts w:cstheme="minorHAnsi"/>
              <w:shd w:val="clear" w:color="auto" w:fill="FFFFFF"/>
              <w:lang w:val="de-DE"/>
            </w:rPr>
            <w:t>10.1628/aoer-2021-0012</w:t>
          </w:r>
        </w:hyperlink>
        <w:r w:rsidRPr="00CE4D97">
          <w:rPr>
            <w:rStyle w:val="Hyperlink"/>
            <w:rFonts w:cstheme="minorHAnsi"/>
            <w:lang w:val="de-DE"/>
          </w:rPr>
          <w:t>.</w:t>
        </w:r>
      </w:hyperlink>
    </w:p>
    <w:p w14:paraId="1968F155" w14:textId="463F408F" w:rsidR="002A0FB9" w:rsidRPr="009F7E06" w:rsidRDefault="002A0FB9" w:rsidP="002A0FB9">
      <w:pPr>
        <w:rPr>
          <w:rFonts w:cstheme="minorHAnsi"/>
          <w:lang w:val="en-US"/>
        </w:rPr>
      </w:pPr>
      <w:r w:rsidRPr="009F7E06">
        <w:rPr>
          <w:rFonts w:cstheme="minorHAnsi"/>
          <w:lang w:val="en-US"/>
        </w:rPr>
        <w:t>Anne Peters / Isabelle Ley, Freedom of Assembly: The Politics of Presence, in: Anne Peters / Isabelle Ley (</w:t>
      </w:r>
      <w:proofErr w:type="spellStart"/>
      <w:r w:rsidRPr="009F7E06">
        <w:rPr>
          <w:rFonts w:cstheme="minorHAnsi"/>
          <w:lang w:val="en-US"/>
        </w:rPr>
        <w:t>Hrsg</w:t>
      </w:r>
      <w:proofErr w:type="spellEnd"/>
      <w:r w:rsidRPr="009F7E06">
        <w:rPr>
          <w:rFonts w:cstheme="minorHAnsi"/>
          <w:lang w:val="en-US"/>
        </w:rPr>
        <w:t>.), The Freedom of Peaceful Assembly, Baden-Baden 2016, Nomos,</w:t>
      </w:r>
      <w:r w:rsidR="00193F6C" w:rsidRPr="009F7E06">
        <w:rPr>
          <w:rFonts w:cstheme="minorHAnsi"/>
          <w:lang w:val="en-US"/>
        </w:rPr>
        <w:t xml:space="preserve"> </w:t>
      </w:r>
      <w:r w:rsidRPr="009F7E06">
        <w:rPr>
          <w:rFonts w:cstheme="minorHAnsi"/>
          <w:lang w:val="en-US"/>
        </w:rPr>
        <w:t xml:space="preserve">9-20. </w:t>
      </w:r>
    </w:p>
    <w:p w14:paraId="69FF18ED" w14:textId="73F09DF0" w:rsidR="002A0FB9" w:rsidRPr="009F7E06" w:rsidRDefault="002A0FB9" w:rsidP="002A0FB9">
      <w:pPr>
        <w:rPr>
          <w:rFonts w:cstheme="minorHAnsi"/>
          <w:lang w:val="en-US"/>
        </w:rPr>
      </w:pPr>
      <w:r w:rsidRPr="009F7E06">
        <w:rPr>
          <w:rFonts w:cstheme="minorHAnsi"/>
          <w:lang w:val="en-US"/>
        </w:rPr>
        <w:t>Isabelle Ley / Anne Peters, Freedom of Assembly in Europe: Comparison, in: Anne Peters / Isabelle Ley (</w:t>
      </w:r>
      <w:proofErr w:type="spellStart"/>
      <w:r w:rsidRPr="009F7E06">
        <w:rPr>
          <w:rFonts w:cstheme="minorHAnsi"/>
          <w:lang w:val="en-US"/>
        </w:rPr>
        <w:t>Hrsg</w:t>
      </w:r>
      <w:proofErr w:type="spellEnd"/>
      <w:r w:rsidRPr="009F7E06">
        <w:rPr>
          <w:rFonts w:cstheme="minorHAnsi"/>
          <w:lang w:val="en-US"/>
        </w:rPr>
        <w:t>.), The Freedom of Peaceful Assembly, Baden-Baden 2016, Nomos,</w:t>
      </w:r>
      <w:r w:rsidR="00193F6C" w:rsidRPr="009F7E06">
        <w:rPr>
          <w:rFonts w:cstheme="minorHAnsi"/>
          <w:lang w:val="en-US"/>
        </w:rPr>
        <w:t xml:space="preserve"> </w:t>
      </w:r>
      <w:r w:rsidRPr="009F7E06">
        <w:rPr>
          <w:rFonts w:cstheme="minorHAnsi"/>
          <w:lang w:val="en-US"/>
        </w:rPr>
        <w:t xml:space="preserve">277-328. </w:t>
      </w:r>
    </w:p>
    <w:p w14:paraId="0EA8FB3A" w14:textId="726A51CB" w:rsidR="00CF4DCC" w:rsidRPr="00247845" w:rsidRDefault="00CF4DCC" w:rsidP="00F4704F">
      <w:pPr>
        <w:rPr>
          <w:rFonts w:eastAsia="Times New Roman" w:cstheme="minorHAnsi"/>
          <w:lang w:val="en-US" w:eastAsia="de-DE"/>
        </w:rPr>
      </w:pPr>
      <w:r w:rsidRPr="009F7E06">
        <w:rPr>
          <w:rFonts w:cstheme="minorHAnsi"/>
          <w:lang w:val="en-US"/>
        </w:rPr>
        <w:lastRenderedPageBreak/>
        <w:t>Opposition in International Law – Alternativity and Revisability as Elements of a Legitimacy Concept for Public International Law, in: Leiden Journal of International Law, 28:4 (2015), 717-742</w:t>
      </w:r>
      <w:r w:rsidR="00FA7519" w:rsidRPr="009F7E06">
        <w:rPr>
          <w:rFonts w:cstheme="minorHAnsi"/>
          <w:lang w:val="en-US"/>
        </w:rPr>
        <w:t xml:space="preserve"> (peer-reviewed)</w:t>
      </w:r>
      <w:r w:rsidR="00E41C18" w:rsidRPr="009F7E06">
        <w:rPr>
          <w:rFonts w:cstheme="minorHAnsi"/>
          <w:lang w:val="en-US"/>
        </w:rPr>
        <w:t xml:space="preserve">, </w:t>
      </w:r>
      <w:r w:rsidR="00676B22" w:rsidRPr="00247845">
        <w:rPr>
          <w:rFonts w:cstheme="minorHAnsi"/>
          <w:lang w:val="en-US"/>
        </w:rPr>
        <w:t>DOI</w:t>
      </w:r>
      <w:r w:rsidR="00E41C18" w:rsidRPr="00247845">
        <w:rPr>
          <w:rFonts w:cstheme="minorHAnsi"/>
          <w:lang w:val="en-US"/>
        </w:rPr>
        <w:t>:</w:t>
      </w:r>
      <w:r w:rsidR="00E41C18" w:rsidRPr="009F7E06">
        <w:rPr>
          <w:rFonts w:cstheme="minorHAnsi"/>
          <w:b/>
          <w:lang w:val="en-US"/>
        </w:rPr>
        <w:t xml:space="preserve"> </w:t>
      </w:r>
      <w:hyperlink r:id="rId17" w:history="1">
        <w:r w:rsidR="009D0FF0" w:rsidRPr="00054B7E">
          <w:rPr>
            <w:rStyle w:val="Hyperlink"/>
            <w:rFonts w:eastAsia="Times New Roman" w:cstheme="minorHAnsi"/>
            <w:bdr w:val="none" w:sz="0" w:space="0" w:color="auto" w:frame="1"/>
            <w:lang w:val="en-US" w:eastAsia="de-DE"/>
          </w:rPr>
          <w:t>https://doi.org/10.1017/S0922156515000400</w:t>
        </w:r>
      </w:hyperlink>
      <w:r w:rsidR="00E41C18" w:rsidRPr="009F7E06">
        <w:rPr>
          <w:rFonts w:cstheme="minorHAnsi"/>
          <w:lang w:val="en-US"/>
        </w:rPr>
        <w:t xml:space="preserve">. </w:t>
      </w:r>
    </w:p>
    <w:p w14:paraId="0EA8FB3B" w14:textId="3FB1B783" w:rsidR="004F2C07" w:rsidRPr="009F7E06" w:rsidRDefault="004F2C07" w:rsidP="004F2C07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>Neuere Entwicklungen im Recht der Verantwortungsverteilung zwischen truppenentsendenden Staaten und internationalen Organisationen im Rahmen internationaler Einsätze, in: DVBl 130:14 (2015),</w:t>
      </w:r>
      <w:r w:rsidR="00193F6C" w:rsidRPr="009F7E06">
        <w:rPr>
          <w:rFonts w:cstheme="minorHAnsi"/>
          <w:lang w:val="de-DE"/>
        </w:rPr>
        <w:t xml:space="preserve"> </w:t>
      </w:r>
      <w:r w:rsidRPr="009F7E06">
        <w:rPr>
          <w:rFonts w:cstheme="minorHAnsi"/>
          <w:lang w:val="de-DE"/>
        </w:rPr>
        <w:t xml:space="preserve">874-882.  </w:t>
      </w:r>
    </w:p>
    <w:p w14:paraId="29893AA7" w14:textId="2F1389AF" w:rsidR="002A0FB9" w:rsidRPr="009F7E06" w:rsidRDefault="002A0FB9" w:rsidP="002A0FB9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Innen und Außen, Öffentlich und Privat: Kontinuitäten und Verbindungen zwischen Verfassungs- und Völkerrecht, in: Claudio Franzius und Tine Stein (Hrsg.), Recht und Politik – Zum Staatsverständnis von Ulrich K. Preuß, Baden-Baden 2015, Nomos, 193-210. </w:t>
      </w:r>
    </w:p>
    <w:p w14:paraId="1F83A824" w14:textId="615A6AF3" w:rsidR="00D8143F" w:rsidRPr="00D8143F" w:rsidRDefault="00A57728" w:rsidP="002A0FB9">
      <w:pPr>
        <w:rPr>
          <w:rFonts w:eastAsia="Times New Roman" w:cstheme="minorHAnsi"/>
          <w:lang w:val="de-DE" w:eastAsia="de-DE"/>
        </w:rPr>
      </w:pPr>
      <w:r w:rsidRPr="009F7E06">
        <w:rPr>
          <w:rFonts w:cstheme="minorHAnsi"/>
          <w:color w:val="000000" w:themeColor="text1"/>
          <w:lang w:val="de-DE"/>
        </w:rPr>
        <w:t>Opposition institutionalisieren – Alternativität und Reversibilität als Elemente eines völkerrechtlichen Legitimationskonzepts, in: Der STAAT 53:2 (2014), 227-262</w:t>
      </w:r>
      <w:r w:rsidR="00662612" w:rsidRPr="009F7E06">
        <w:rPr>
          <w:rFonts w:cstheme="minorHAnsi"/>
          <w:color w:val="000000" w:themeColor="text1"/>
          <w:lang w:val="de-DE"/>
        </w:rPr>
        <w:t xml:space="preserve">, </w:t>
      </w:r>
      <w:r w:rsidR="00676B22" w:rsidRPr="00247845">
        <w:rPr>
          <w:rFonts w:cstheme="minorHAnsi"/>
          <w:bCs/>
          <w:color w:val="000000" w:themeColor="text1"/>
          <w:lang w:val="de-DE"/>
        </w:rPr>
        <w:t>DOI</w:t>
      </w:r>
      <w:r w:rsidR="00662612" w:rsidRPr="00247845">
        <w:rPr>
          <w:rFonts w:cstheme="minorHAnsi"/>
          <w:bCs/>
          <w:color w:val="000000" w:themeColor="text1"/>
          <w:lang w:val="de-DE"/>
        </w:rPr>
        <w:t>:</w:t>
      </w:r>
      <w:r w:rsidR="00662612" w:rsidRPr="009F7E06">
        <w:rPr>
          <w:rFonts w:cstheme="minorHAnsi"/>
          <w:b/>
          <w:bCs/>
          <w:color w:val="000000" w:themeColor="text1"/>
          <w:lang w:val="de-DE"/>
        </w:rPr>
        <w:t xml:space="preserve"> </w:t>
      </w:r>
      <w:r w:rsidR="00662612" w:rsidRPr="0038526C">
        <w:rPr>
          <w:rFonts w:cstheme="minorHAnsi"/>
          <w:lang w:val="de-DE"/>
        </w:rPr>
        <w:t>https://</w:t>
      </w:r>
      <w:r w:rsidR="00662612" w:rsidRPr="0038526C">
        <w:rPr>
          <w:rFonts w:eastAsia="Times New Roman" w:cstheme="minorHAnsi"/>
          <w:shd w:val="clear" w:color="auto" w:fill="FFFFFF"/>
          <w:lang w:val="de-DE" w:eastAsia="de-DE"/>
        </w:rPr>
        <w:t>doi.org/10.3790/staa.53.2.227</w:t>
      </w:r>
      <w:r w:rsidR="00D8143F">
        <w:rPr>
          <w:rStyle w:val="Hyperlink"/>
          <w:rFonts w:eastAsia="Times New Roman" w:cstheme="minorHAnsi"/>
          <w:shd w:val="clear" w:color="auto" w:fill="FFFFFF"/>
          <w:lang w:val="de-DE" w:eastAsia="de-DE"/>
        </w:rPr>
        <w:t xml:space="preserve"> </w:t>
      </w:r>
      <w:r w:rsidR="00D8143F">
        <w:rPr>
          <w:rFonts w:cstheme="minorHAnsi"/>
          <w:lang w:val="de-DE"/>
        </w:rPr>
        <w:t>(</w:t>
      </w:r>
      <w:hyperlink r:id="rId18" w:history="1">
        <w:r w:rsidR="00D8143F" w:rsidRPr="0038526C">
          <w:rPr>
            <w:rStyle w:val="Hyperlink"/>
            <w:rFonts w:cstheme="minorHAnsi"/>
            <w:lang w:val="de-DE"/>
          </w:rPr>
          <w:t xml:space="preserve">open </w:t>
        </w:r>
        <w:proofErr w:type="spellStart"/>
        <w:r w:rsidR="00D8143F" w:rsidRPr="0038526C">
          <w:rPr>
            <w:rStyle w:val="Hyperlink"/>
            <w:rFonts w:cstheme="minorHAnsi"/>
            <w:lang w:val="de-DE"/>
          </w:rPr>
          <w:t>access</w:t>
        </w:r>
        <w:proofErr w:type="spellEnd"/>
      </w:hyperlink>
      <w:r w:rsidR="00D8143F">
        <w:rPr>
          <w:rFonts w:cstheme="minorHAnsi"/>
          <w:lang w:val="de-DE"/>
        </w:rPr>
        <w:t xml:space="preserve">). </w:t>
      </w:r>
    </w:p>
    <w:p w14:paraId="24C07B2A" w14:textId="59AEBC89" w:rsidR="002A0FB9" w:rsidRPr="009F7E06" w:rsidRDefault="002A0FB9" w:rsidP="002A0FB9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>Die fehlende Opposition oder: Konzeptionelle Schwierigkeiten nicht-staatlicher Demokratievorstellungen, in: Claudio Franzius / Franz Mayer / Jürgen Neyer (Hrsg.), Die Grenzen der europäischen Integration, Baden-Baden 2014, Nomos,</w:t>
      </w:r>
      <w:r w:rsidR="00193F6C" w:rsidRPr="009F7E06">
        <w:rPr>
          <w:rFonts w:cstheme="minorHAnsi"/>
          <w:lang w:val="de-DE"/>
        </w:rPr>
        <w:t xml:space="preserve"> </w:t>
      </w:r>
      <w:r w:rsidRPr="009F7E06">
        <w:rPr>
          <w:rFonts w:cstheme="minorHAnsi"/>
          <w:lang w:val="de-DE"/>
        </w:rPr>
        <w:t xml:space="preserve">197-210. </w:t>
      </w:r>
    </w:p>
    <w:p w14:paraId="0EA8FB3D" w14:textId="716426CD" w:rsidR="00A57728" w:rsidRPr="009F7E06" w:rsidRDefault="00A57728">
      <w:pPr>
        <w:rPr>
          <w:rFonts w:eastAsia="Times New Roman" w:cstheme="minorHAnsi"/>
          <w:lang w:val="de-DE" w:eastAsia="de-DE"/>
        </w:rPr>
      </w:pPr>
      <w:r w:rsidRPr="009F7E06">
        <w:rPr>
          <w:rFonts w:cstheme="minorHAnsi"/>
          <w:lang w:val="de-DE"/>
        </w:rPr>
        <w:t>Zur Politisierung des Völkerrechts – Parlamentarische Versammlungen im Außenverhältnis, in: Archiv des Völkerrechts 50</w:t>
      </w:r>
      <w:r w:rsidR="0016576A" w:rsidRPr="009F7E06">
        <w:rPr>
          <w:rFonts w:cstheme="minorHAnsi"/>
          <w:lang w:val="de-DE"/>
        </w:rPr>
        <w:t>:2</w:t>
      </w:r>
      <w:r w:rsidRPr="009F7E06">
        <w:rPr>
          <w:rFonts w:cstheme="minorHAnsi"/>
          <w:lang w:val="de-DE"/>
        </w:rPr>
        <w:t xml:space="preserve"> (2012),</w:t>
      </w:r>
      <w:r w:rsidR="00193F6C" w:rsidRPr="009F7E06">
        <w:rPr>
          <w:rFonts w:cstheme="minorHAnsi"/>
          <w:lang w:val="de-DE"/>
        </w:rPr>
        <w:t xml:space="preserve"> </w:t>
      </w:r>
      <w:r w:rsidRPr="009F7E06">
        <w:rPr>
          <w:rFonts w:cstheme="minorHAnsi"/>
          <w:lang w:val="de-DE"/>
        </w:rPr>
        <w:t>191-217</w:t>
      </w:r>
      <w:r w:rsidR="00E41C18" w:rsidRPr="009F7E06">
        <w:rPr>
          <w:rFonts w:cstheme="minorHAnsi"/>
          <w:lang w:val="de-DE"/>
        </w:rPr>
        <w:t xml:space="preserve">, </w:t>
      </w:r>
      <w:r w:rsidR="00193F6C" w:rsidRPr="00247845">
        <w:rPr>
          <w:rFonts w:cstheme="minorHAnsi"/>
          <w:bCs/>
          <w:lang w:val="de-DE"/>
        </w:rPr>
        <w:t>DOI</w:t>
      </w:r>
      <w:r w:rsidR="00E41C18" w:rsidRPr="00247845">
        <w:rPr>
          <w:rFonts w:cstheme="minorHAnsi"/>
          <w:bCs/>
          <w:lang w:val="de-DE"/>
        </w:rPr>
        <w:t>:</w:t>
      </w:r>
      <w:r w:rsidR="00E41C18" w:rsidRPr="009F7E06">
        <w:rPr>
          <w:rFonts w:cstheme="minorHAnsi"/>
          <w:lang w:val="de-DE"/>
        </w:rPr>
        <w:t xml:space="preserve"> </w:t>
      </w:r>
      <w:r w:rsidR="00662612" w:rsidRPr="00E10B9B">
        <w:rPr>
          <w:rFonts w:cstheme="minorHAnsi"/>
          <w:lang w:val="de-DE"/>
        </w:rPr>
        <w:t>https://doi.org/</w:t>
      </w:r>
      <w:r w:rsidR="00662612" w:rsidRPr="00E10B9B">
        <w:rPr>
          <w:rFonts w:eastAsia="Times New Roman" w:cstheme="minorHAnsi"/>
          <w:shd w:val="clear" w:color="auto" w:fill="FFFFFF"/>
          <w:lang w:val="de-DE" w:eastAsia="de-DE"/>
        </w:rPr>
        <w:t>10.1628/000389212803432294</w:t>
      </w:r>
      <w:r w:rsidR="00662612" w:rsidRPr="009F7E06">
        <w:rPr>
          <w:rFonts w:eastAsia="Times New Roman" w:cstheme="minorHAnsi"/>
          <w:lang w:val="de-DE" w:eastAsia="de-DE"/>
        </w:rPr>
        <w:t xml:space="preserve"> </w:t>
      </w:r>
      <w:r w:rsidR="00E41C18" w:rsidRPr="009F7E06">
        <w:rPr>
          <w:rFonts w:cstheme="minorHAnsi"/>
          <w:lang w:val="de-DE"/>
        </w:rPr>
        <w:t>(</w:t>
      </w:r>
      <w:hyperlink r:id="rId19" w:history="1">
        <w:hyperlink r:id="rId20" w:history="1">
          <w:r w:rsidR="003F2B72" w:rsidRPr="003F2B72">
            <w:rPr>
              <w:rStyle w:val="Hyperlink"/>
              <w:rFonts w:cstheme="minorHAnsi"/>
              <w:lang w:val="de-DE"/>
            </w:rPr>
            <w:t>open</w:t>
          </w:r>
        </w:hyperlink>
        <w:r w:rsidR="003F2B72" w:rsidRPr="003F2B72">
          <w:rPr>
            <w:rStyle w:val="Hyperlink"/>
            <w:rFonts w:cstheme="minorHAnsi"/>
            <w:lang w:val="de-DE"/>
          </w:rPr>
          <w:t xml:space="preserve"> </w:t>
        </w:r>
        <w:proofErr w:type="spellStart"/>
        <w:r w:rsidR="003F2B72" w:rsidRPr="003F2B72">
          <w:rPr>
            <w:rStyle w:val="Hyperlink"/>
            <w:rFonts w:cstheme="minorHAnsi"/>
            <w:lang w:val="de-DE"/>
          </w:rPr>
          <w:t>access</w:t>
        </w:r>
        <w:proofErr w:type="spellEnd"/>
      </w:hyperlink>
      <w:r w:rsidR="00E41C18" w:rsidRPr="009F7E06">
        <w:rPr>
          <w:rFonts w:cstheme="minorHAnsi"/>
          <w:lang w:val="de-DE"/>
        </w:rPr>
        <w:t xml:space="preserve">). </w:t>
      </w:r>
      <w:r w:rsidRPr="009F7E06">
        <w:rPr>
          <w:rFonts w:cstheme="minorHAnsi"/>
          <w:lang w:val="de-DE"/>
        </w:rPr>
        <w:t xml:space="preserve"> </w:t>
      </w:r>
    </w:p>
    <w:p w14:paraId="0EA8FB3E" w14:textId="19572DF3" w:rsidR="00A57728" w:rsidRPr="009F7E06" w:rsidRDefault="00A57728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Brünn betreibt die Parlamentarisierung des Primärrechts – Anmerkung zum zweiten Urteil des tschechischen Verfassungsgerichtshofs zum Vertrag von Lissabon vom 3.11.2009, in: </w:t>
      </w:r>
      <w:proofErr w:type="spellStart"/>
      <w:r w:rsidRPr="009F7E06">
        <w:rPr>
          <w:rFonts w:cstheme="minorHAnsi"/>
          <w:lang w:val="de-DE"/>
        </w:rPr>
        <w:t>JuristenZeitung</w:t>
      </w:r>
      <w:proofErr w:type="spellEnd"/>
      <w:r w:rsidRPr="009F7E06">
        <w:rPr>
          <w:rFonts w:cstheme="minorHAnsi"/>
          <w:lang w:val="de-DE"/>
        </w:rPr>
        <w:t xml:space="preserve"> 65:4 (2010), 165-173</w:t>
      </w:r>
      <w:r w:rsidR="00E41C18" w:rsidRPr="009F7E06">
        <w:rPr>
          <w:rFonts w:cstheme="minorHAnsi"/>
          <w:lang w:val="de-DE"/>
        </w:rPr>
        <w:t xml:space="preserve">, </w:t>
      </w:r>
      <w:r w:rsidR="00193F6C" w:rsidRPr="001579F2">
        <w:rPr>
          <w:rFonts w:cstheme="minorHAnsi"/>
          <w:bCs/>
          <w:lang w:val="de-DE"/>
        </w:rPr>
        <w:t>DOI</w:t>
      </w:r>
      <w:r w:rsidR="00E41C18" w:rsidRPr="001579F2">
        <w:rPr>
          <w:rFonts w:cstheme="minorHAnsi"/>
          <w:bCs/>
          <w:lang w:val="de-DE"/>
        </w:rPr>
        <w:t>:</w:t>
      </w:r>
      <w:r w:rsidR="00E41C18" w:rsidRPr="009F7E06">
        <w:rPr>
          <w:rFonts w:cstheme="minorHAnsi"/>
          <w:b/>
          <w:bCs/>
          <w:lang w:val="de-DE"/>
        </w:rPr>
        <w:t xml:space="preserve"> </w:t>
      </w:r>
      <w:r w:rsidR="00662612" w:rsidRPr="001579F2">
        <w:rPr>
          <w:rFonts w:cstheme="minorHAnsi"/>
          <w:lang w:val="de-DE"/>
        </w:rPr>
        <w:t>https://doi.org/</w:t>
      </w:r>
      <w:r w:rsidR="00662612" w:rsidRPr="001579F2">
        <w:rPr>
          <w:rFonts w:eastAsia="Times New Roman" w:cstheme="minorHAnsi"/>
          <w:shd w:val="clear" w:color="auto" w:fill="FFFFFF"/>
          <w:lang w:val="de-DE" w:eastAsia="de-DE"/>
        </w:rPr>
        <w:t>10.1628/002268810790786222</w:t>
      </w:r>
      <w:r w:rsidR="00E41C18" w:rsidRPr="009F7E06">
        <w:rPr>
          <w:rFonts w:cstheme="minorHAnsi"/>
          <w:lang w:val="de-DE"/>
        </w:rPr>
        <w:t xml:space="preserve"> (</w:t>
      </w:r>
      <w:hyperlink r:id="rId21" w:history="1">
        <w:hyperlink r:id="rId22" w:history="1">
          <w:r w:rsidR="0078118F" w:rsidRPr="0078118F">
            <w:rPr>
              <w:rStyle w:val="Hyperlink"/>
              <w:rFonts w:cstheme="minorHAnsi"/>
              <w:lang w:val="de-DE"/>
            </w:rPr>
            <w:t>open</w:t>
          </w:r>
        </w:hyperlink>
        <w:r w:rsidR="0078118F" w:rsidRPr="0078118F">
          <w:rPr>
            <w:rStyle w:val="Hyperlink"/>
            <w:rFonts w:cstheme="minorHAnsi"/>
            <w:lang w:val="de-DE"/>
          </w:rPr>
          <w:t xml:space="preserve"> </w:t>
        </w:r>
        <w:proofErr w:type="spellStart"/>
        <w:r w:rsidR="0078118F" w:rsidRPr="0078118F">
          <w:rPr>
            <w:rStyle w:val="Hyperlink"/>
            <w:rFonts w:cstheme="minorHAnsi"/>
            <w:lang w:val="de-DE"/>
          </w:rPr>
          <w:t>access</w:t>
        </w:r>
        <w:proofErr w:type="spellEnd"/>
      </w:hyperlink>
      <w:r w:rsidR="00E41C18" w:rsidRPr="009F7E06">
        <w:rPr>
          <w:rFonts w:cstheme="minorHAnsi"/>
          <w:lang w:val="de-DE"/>
        </w:rPr>
        <w:t xml:space="preserve">). </w:t>
      </w:r>
    </w:p>
    <w:p w14:paraId="0EA8FB41" w14:textId="1967C21B" w:rsidR="00D24AB3" w:rsidRPr="009F7E06" w:rsidRDefault="00A57728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Kant versus Locke: Europarechtlicher und völkerrechtlicher Konstitutionalismus im Vergleich, in: </w:t>
      </w:r>
      <w:proofErr w:type="spellStart"/>
      <w:r w:rsidRPr="009F7E06">
        <w:rPr>
          <w:rFonts w:cstheme="minorHAnsi"/>
          <w:lang w:val="de-DE"/>
        </w:rPr>
        <w:t>ZaöRV</w:t>
      </w:r>
      <w:proofErr w:type="spellEnd"/>
      <w:r w:rsidRPr="009F7E06">
        <w:rPr>
          <w:rFonts w:cstheme="minorHAnsi"/>
          <w:lang w:val="de-DE"/>
        </w:rPr>
        <w:t xml:space="preserve"> 69:2 (2009), 317-345</w:t>
      </w:r>
      <w:r w:rsidR="00260414">
        <w:rPr>
          <w:rFonts w:cstheme="minorHAnsi"/>
          <w:lang w:val="de-DE"/>
        </w:rPr>
        <w:t xml:space="preserve"> (</w:t>
      </w:r>
      <w:hyperlink r:id="rId23" w:history="1">
        <w:hyperlink r:id="rId24" w:history="1">
          <w:r w:rsidR="00106DA1" w:rsidRPr="00106DA1">
            <w:rPr>
              <w:rStyle w:val="Hyperlink"/>
              <w:rFonts w:cstheme="minorHAnsi"/>
              <w:lang w:val="de-DE"/>
            </w:rPr>
            <w:t>open</w:t>
          </w:r>
        </w:hyperlink>
        <w:r w:rsidR="00106DA1" w:rsidRPr="00106DA1">
          <w:rPr>
            <w:rStyle w:val="Hyperlink"/>
            <w:rFonts w:cstheme="minorHAnsi"/>
            <w:lang w:val="de-DE"/>
          </w:rPr>
          <w:t xml:space="preserve"> </w:t>
        </w:r>
        <w:proofErr w:type="spellStart"/>
        <w:r w:rsidR="00106DA1" w:rsidRPr="00106DA1">
          <w:rPr>
            <w:rStyle w:val="Hyperlink"/>
            <w:rFonts w:cstheme="minorHAnsi"/>
            <w:lang w:val="de-DE"/>
          </w:rPr>
          <w:t>access</w:t>
        </w:r>
        <w:proofErr w:type="spellEnd"/>
      </w:hyperlink>
      <w:r w:rsidR="00260414">
        <w:rPr>
          <w:rFonts w:cstheme="minorHAnsi"/>
          <w:lang w:val="de-DE"/>
        </w:rPr>
        <w:t xml:space="preserve">). </w:t>
      </w:r>
    </w:p>
    <w:p w14:paraId="025BB931" w14:textId="1E173DCB" w:rsidR="009C0D56" w:rsidRPr="009F7E06" w:rsidRDefault="009C0D56" w:rsidP="009C0D56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Verfassung ohne Grenzen? Zur Bedeutung von Grenzen im postnationalen Konstitutionalismus, in: Ingolf Pernice / Benjamin von Engelhardt / Sarah Krieg / Isabelle Ley / Osvaldo Saldias (Hrsg.), Europa jenseits seiner Grenzen – Politologisch, historische und juristische Perspektiven, Baden-Baden 2009, Nomos, 91-126. </w:t>
      </w:r>
    </w:p>
    <w:p w14:paraId="39FBF908" w14:textId="3ED8B1FA" w:rsidR="00005FE0" w:rsidRPr="009F7E06" w:rsidRDefault="009C0D56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Einleitung (gem. mit Osvaldo Saldias), in: Ingolf Pernice / Benjamin von Engelhardt / Sarah Krieg / Isabelle Ley / Osvaldo Saldias (Hrsg.), Europa jenseits seiner Grenzen – Politologisch, historische und juristische Perspektiven, Baden-Baden 2009, Nomos, 9-12. </w:t>
      </w:r>
    </w:p>
    <w:p w14:paraId="24D19805" w14:textId="77777777" w:rsidR="00441957" w:rsidRPr="009F7E06" w:rsidRDefault="00441957">
      <w:pPr>
        <w:rPr>
          <w:rFonts w:cstheme="minorHAnsi"/>
          <w:lang w:val="de-DE"/>
        </w:rPr>
      </w:pPr>
    </w:p>
    <w:p w14:paraId="0EA8FB4C" w14:textId="3F3909D8" w:rsidR="00D24AB3" w:rsidRPr="009F7E06" w:rsidRDefault="00386525" w:rsidP="00441957">
      <w:pPr>
        <w:rPr>
          <w:rFonts w:cstheme="minorHAnsi"/>
          <w:b/>
          <w:lang w:val="de-DE"/>
        </w:rPr>
      </w:pPr>
      <w:r w:rsidRPr="009F7E06">
        <w:rPr>
          <w:rFonts w:cstheme="minorHAnsi"/>
          <w:b/>
          <w:lang w:val="de-DE"/>
        </w:rPr>
        <w:t xml:space="preserve">Rezensionen, Berichte, </w:t>
      </w:r>
      <w:r w:rsidR="009678D6" w:rsidRPr="009F7E06">
        <w:rPr>
          <w:rFonts w:cstheme="minorHAnsi"/>
          <w:b/>
          <w:lang w:val="de-DE"/>
        </w:rPr>
        <w:t>Blogbeiträge</w:t>
      </w:r>
      <w:r w:rsidR="007E369E">
        <w:rPr>
          <w:rFonts w:cstheme="minorHAnsi"/>
          <w:b/>
          <w:lang w:val="de-DE"/>
        </w:rPr>
        <w:t>, Sonstiges</w:t>
      </w:r>
    </w:p>
    <w:p w14:paraId="647BF3F3" w14:textId="4EC394C5" w:rsidR="00684C7C" w:rsidRPr="008E629C" w:rsidRDefault="00684C7C" w:rsidP="006732EA">
      <w:pPr>
        <w:rPr>
          <w:lang w:val="de-DE"/>
        </w:rPr>
      </w:pPr>
      <w:r>
        <w:rPr>
          <w:lang w:val="de-DE"/>
        </w:rPr>
        <w:t xml:space="preserve">Die Orte des Glaubens neu bestimmen </w:t>
      </w:r>
      <w:r w:rsidR="00D93786">
        <w:rPr>
          <w:lang w:val="de-DE"/>
        </w:rPr>
        <w:t>–</w:t>
      </w:r>
      <w:r>
        <w:rPr>
          <w:lang w:val="de-DE"/>
        </w:rPr>
        <w:t xml:space="preserve"> </w:t>
      </w:r>
      <w:r w:rsidR="00D93786">
        <w:rPr>
          <w:lang w:val="de-DE"/>
        </w:rPr>
        <w:t>Wird das Religionsverfassungsrecht seiner integrierenden und befriedenden Funktion noch gerecht?, FAZ v. 3.11.2022,</w:t>
      </w:r>
      <w:r w:rsidR="008E629C">
        <w:rPr>
          <w:lang w:val="de-DE"/>
        </w:rPr>
        <w:t xml:space="preserve"> S. 6, </w:t>
      </w:r>
      <w:r w:rsidR="00D93786">
        <w:rPr>
          <w:lang w:val="de-DE"/>
        </w:rPr>
        <w:t xml:space="preserve"> </w:t>
      </w:r>
      <w:hyperlink r:id="rId25" w:history="1">
        <w:r w:rsidR="000733A8" w:rsidRPr="008E629C">
          <w:rPr>
            <w:rStyle w:val="Hyperlink"/>
            <w:lang w:val="de-DE"/>
          </w:rPr>
          <w:t>https://www.faz.net/aktuell/politik/staat-und-recht/die-orte-des-glaubens-neu-bestimmen-18432063.html?premium</w:t>
        </w:r>
      </w:hyperlink>
      <w:r w:rsidR="000733A8" w:rsidRPr="008E629C">
        <w:rPr>
          <w:lang w:val="de-DE"/>
        </w:rPr>
        <w:t xml:space="preserve">. </w:t>
      </w:r>
    </w:p>
    <w:p w14:paraId="0AC23E06" w14:textId="34380747" w:rsidR="00133402" w:rsidRPr="00574B52" w:rsidRDefault="00133402" w:rsidP="006732EA">
      <w:r w:rsidRPr="005F1F47">
        <w:rPr>
          <w:lang w:val="de-DE"/>
        </w:rPr>
        <w:t xml:space="preserve">Interview </w:t>
      </w:r>
      <w:r w:rsidR="00AA1B4D">
        <w:rPr>
          <w:lang w:val="de-DE"/>
        </w:rPr>
        <w:t xml:space="preserve">durchgeführt von Helene Bubrowski mit </w:t>
      </w:r>
      <w:r w:rsidR="005F1F47" w:rsidRPr="005F1F47">
        <w:rPr>
          <w:lang w:val="de-DE"/>
        </w:rPr>
        <w:t>FAZ Einspruch p</w:t>
      </w:r>
      <w:r w:rsidR="005F1F47">
        <w:rPr>
          <w:lang w:val="de-DE"/>
        </w:rPr>
        <w:t>odcast v. 6.4.2022: Was kommt nach der Zeitenwende?</w:t>
      </w:r>
      <w:r w:rsidR="001F1EC7">
        <w:rPr>
          <w:lang w:val="de-DE"/>
        </w:rPr>
        <w:t xml:space="preserve"> </w:t>
      </w:r>
      <w:hyperlink r:id="rId26" w:history="1">
        <w:r w:rsidR="001F1EC7" w:rsidRPr="00574B52">
          <w:rPr>
            <w:rStyle w:val="Hyperlink"/>
          </w:rPr>
          <w:t>https://www.faz.net/podcasts/f-a-z-einspruch-podcast/f-a-z-einspruch-was-kommt-nach-der-zeitenwende-17939869.html</w:t>
        </w:r>
      </w:hyperlink>
      <w:r w:rsidR="00245447" w:rsidRPr="00574B52">
        <w:t>.</w:t>
      </w:r>
      <w:r w:rsidR="001F1EC7" w:rsidRPr="00574B52">
        <w:t xml:space="preserve"> </w:t>
      </w:r>
    </w:p>
    <w:p w14:paraId="369030B1" w14:textId="75103B5C" w:rsidR="002A1DA7" w:rsidRPr="00574B52" w:rsidRDefault="00500D92" w:rsidP="006732EA">
      <w:pPr>
        <w:rPr>
          <w:lang w:val="de-DE"/>
        </w:rPr>
      </w:pPr>
      <w:r w:rsidRPr="00574B52">
        <w:rPr>
          <w:lang w:val="de-DE"/>
        </w:rPr>
        <w:lastRenderedPageBreak/>
        <w:t xml:space="preserve">The end </w:t>
      </w:r>
      <w:proofErr w:type="spellStart"/>
      <w:r w:rsidRPr="00574B52">
        <w:rPr>
          <w:lang w:val="de-DE"/>
        </w:rPr>
        <w:t>of</w:t>
      </w:r>
      <w:proofErr w:type="spellEnd"/>
      <w:r w:rsidRPr="00574B52">
        <w:rPr>
          <w:lang w:val="de-DE"/>
        </w:rPr>
        <w:t xml:space="preserve"> </w:t>
      </w:r>
      <w:proofErr w:type="spellStart"/>
      <w:r w:rsidRPr="00574B52">
        <w:rPr>
          <w:lang w:val="de-DE"/>
        </w:rPr>
        <w:t>Germany’s</w:t>
      </w:r>
      <w:proofErr w:type="spellEnd"/>
      <w:r w:rsidRPr="00574B52">
        <w:rPr>
          <w:lang w:val="de-DE"/>
        </w:rPr>
        <w:t xml:space="preserve"> </w:t>
      </w:r>
      <w:proofErr w:type="spellStart"/>
      <w:r w:rsidRPr="00574B52">
        <w:rPr>
          <w:lang w:val="de-DE"/>
        </w:rPr>
        <w:t>strategic</w:t>
      </w:r>
      <w:proofErr w:type="spellEnd"/>
      <w:r w:rsidRPr="00574B52">
        <w:rPr>
          <w:lang w:val="de-DE"/>
        </w:rPr>
        <w:t xml:space="preserve"> restraint, </w:t>
      </w:r>
      <w:proofErr w:type="spellStart"/>
      <w:r w:rsidRPr="00574B52">
        <w:rPr>
          <w:lang w:val="de-DE"/>
        </w:rPr>
        <w:t>VerfassungsBlog</w:t>
      </w:r>
      <w:proofErr w:type="spellEnd"/>
      <w:r w:rsidRPr="00574B52">
        <w:rPr>
          <w:lang w:val="de-DE"/>
        </w:rPr>
        <w:t xml:space="preserve"> v. 2.4.2022, </w:t>
      </w:r>
      <w:hyperlink r:id="rId27" w:history="1">
        <w:r w:rsidR="00133402" w:rsidRPr="00574B52">
          <w:rPr>
            <w:rStyle w:val="Hyperlink"/>
            <w:lang w:val="de-DE"/>
          </w:rPr>
          <w:t>https://verfassungsblog.de/the-end-of-germanys-strategic-restraint/</w:t>
        </w:r>
      </w:hyperlink>
      <w:r w:rsidR="00133402" w:rsidRPr="00574B52">
        <w:rPr>
          <w:lang w:val="de-DE"/>
        </w:rPr>
        <w:t xml:space="preserve">, DOI: </w:t>
      </w:r>
      <w:hyperlink r:id="rId28" w:tgtFrame="_blank" w:history="1">
        <w:r w:rsidR="00133402" w:rsidRPr="00574B52">
          <w:rPr>
            <w:rStyle w:val="Hyperlink"/>
            <w:rFonts w:ascii="PT Sans" w:hAnsi="PT Sans"/>
            <w:shd w:val="clear" w:color="auto" w:fill="FFFFFF"/>
            <w:lang w:val="de-DE"/>
          </w:rPr>
          <w:t>10.17176/20220403-011126-0</w:t>
        </w:r>
      </w:hyperlink>
      <w:r w:rsidR="00133402" w:rsidRPr="00574B52">
        <w:rPr>
          <w:rFonts w:ascii="PT Sans" w:hAnsi="PT Sans"/>
          <w:color w:val="000000"/>
          <w:shd w:val="clear" w:color="auto" w:fill="FFFFFF"/>
          <w:lang w:val="de-DE"/>
        </w:rPr>
        <w:t>.</w:t>
      </w:r>
    </w:p>
    <w:p w14:paraId="747DA694" w14:textId="49BB6EA3" w:rsidR="006A0AAB" w:rsidRPr="007815F5" w:rsidRDefault="005515D5" w:rsidP="006732EA">
      <w:pPr>
        <w:rPr>
          <w:rFonts w:cstheme="minorHAnsi"/>
          <w:color w:val="000000"/>
          <w:shd w:val="clear" w:color="auto" w:fill="FFFFFF"/>
          <w:lang w:val="de-DE"/>
        </w:rPr>
      </w:pPr>
      <w:r>
        <w:rPr>
          <w:lang w:val="de-DE"/>
        </w:rPr>
        <w:t xml:space="preserve">Das Ende der Zurückhaltung – Die Bedeutung einer öffentlichen Strategiedebatte und die Rolle des Rechts in der Sicherheits- und Verteidigungspolitik, </w:t>
      </w:r>
      <w:proofErr w:type="spellStart"/>
      <w:r>
        <w:rPr>
          <w:lang w:val="de-DE"/>
        </w:rPr>
        <w:t>VerfassungsBlog</w:t>
      </w:r>
      <w:proofErr w:type="spellEnd"/>
      <w:r>
        <w:rPr>
          <w:lang w:val="de-DE"/>
        </w:rPr>
        <w:t xml:space="preserve"> v. 18.3.2022</w:t>
      </w:r>
      <w:r w:rsidR="002736CC">
        <w:rPr>
          <w:lang w:val="de-DE"/>
        </w:rPr>
        <w:t xml:space="preserve">, </w:t>
      </w:r>
      <w:hyperlink r:id="rId29" w:history="1">
        <w:r w:rsidR="002736CC" w:rsidRPr="00083342">
          <w:rPr>
            <w:rStyle w:val="Hyperlink"/>
            <w:lang w:val="de-DE"/>
          </w:rPr>
          <w:t>https://verfassungsblog.de/das-ende-der-zuruckhaltung/</w:t>
        </w:r>
      </w:hyperlink>
      <w:r w:rsidR="002736CC">
        <w:rPr>
          <w:lang w:val="de-DE"/>
        </w:rPr>
        <w:t xml:space="preserve">, DOI: </w:t>
      </w:r>
      <w:hyperlink r:id="rId30" w:tgtFrame="_blank" w:history="1">
        <w:r w:rsidR="004012F5" w:rsidRPr="007815F5">
          <w:rPr>
            <w:rStyle w:val="Hyperlink"/>
            <w:rFonts w:cstheme="minorHAnsi"/>
            <w:shd w:val="clear" w:color="auto" w:fill="FFFFFF"/>
            <w:lang w:val="de-DE"/>
          </w:rPr>
          <w:t>10.17176/20220319-001302-0</w:t>
        </w:r>
      </w:hyperlink>
      <w:r w:rsidR="004012F5" w:rsidRPr="007815F5">
        <w:rPr>
          <w:rFonts w:cstheme="minorHAnsi"/>
          <w:color w:val="000000"/>
          <w:shd w:val="clear" w:color="auto" w:fill="FFFFFF"/>
          <w:lang w:val="de-DE"/>
        </w:rPr>
        <w:t>.</w:t>
      </w:r>
    </w:p>
    <w:p w14:paraId="186C7E31" w14:textId="0097EAA9" w:rsidR="008974AC" w:rsidRPr="007815F5" w:rsidRDefault="00E31C75" w:rsidP="006732EA">
      <w:pPr>
        <w:rPr>
          <w:rFonts w:cstheme="minorHAnsi"/>
          <w:color w:val="000000"/>
          <w:shd w:val="clear" w:color="auto" w:fill="FFFFFF"/>
          <w:lang w:val="de-DE"/>
        </w:rPr>
      </w:pPr>
      <w:r w:rsidRPr="007815F5">
        <w:rPr>
          <w:rFonts w:cstheme="minorHAnsi"/>
          <w:color w:val="000000"/>
          <w:shd w:val="clear" w:color="auto" w:fill="FFFFFF"/>
          <w:lang w:val="de-DE"/>
        </w:rPr>
        <w:t xml:space="preserve">Sicherheitsstrategie nach der Zeitenwende: Institutionen, Recht, Politik (gemeinsam mit Alexandra Kemmerer), </w:t>
      </w:r>
      <w:proofErr w:type="spellStart"/>
      <w:r w:rsidRPr="007815F5">
        <w:rPr>
          <w:rFonts w:cstheme="minorHAnsi"/>
          <w:color w:val="000000"/>
          <w:shd w:val="clear" w:color="auto" w:fill="FFFFFF"/>
          <w:lang w:val="de-DE"/>
        </w:rPr>
        <w:t>VerfassungsBlog</w:t>
      </w:r>
      <w:proofErr w:type="spellEnd"/>
      <w:r w:rsidRPr="007815F5">
        <w:rPr>
          <w:rFonts w:cstheme="minorHAnsi"/>
          <w:color w:val="000000"/>
          <w:shd w:val="clear" w:color="auto" w:fill="FFFFFF"/>
          <w:lang w:val="de-DE"/>
        </w:rPr>
        <w:t xml:space="preserve"> </w:t>
      </w:r>
      <w:r w:rsidR="001704D0">
        <w:rPr>
          <w:rFonts w:cstheme="minorHAnsi"/>
          <w:color w:val="000000"/>
          <w:shd w:val="clear" w:color="auto" w:fill="FFFFFF"/>
          <w:lang w:val="de-DE"/>
        </w:rPr>
        <w:t>03-04/2022</w:t>
      </w:r>
      <w:r w:rsidRPr="007815F5">
        <w:rPr>
          <w:rFonts w:cstheme="minorHAnsi"/>
          <w:color w:val="000000"/>
          <w:shd w:val="clear" w:color="auto" w:fill="FFFFFF"/>
          <w:lang w:val="de-DE"/>
        </w:rPr>
        <w:t xml:space="preserve">, Editorial </w:t>
      </w:r>
      <w:r w:rsidR="00491C97">
        <w:rPr>
          <w:rFonts w:cstheme="minorHAnsi"/>
          <w:color w:val="000000"/>
          <w:shd w:val="clear" w:color="auto" w:fill="FFFFFF"/>
          <w:lang w:val="de-DE"/>
        </w:rPr>
        <w:t xml:space="preserve">und Organisation eines </w:t>
      </w:r>
      <w:proofErr w:type="spellStart"/>
      <w:r w:rsidR="00620DDB" w:rsidRPr="007815F5">
        <w:rPr>
          <w:rFonts w:cstheme="minorHAnsi"/>
          <w:color w:val="000000"/>
          <w:shd w:val="clear" w:color="auto" w:fill="FFFFFF"/>
          <w:lang w:val="de-DE"/>
        </w:rPr>
        <w:t>BlogSymposions</w:t>
      </w:r>
      <w:proofErr w:type="spellEnd"/>
      <w:r w:rsidR="00620DDB" w:rsidRPr="007815F5">
        <w:rPr>
          <w:rFonts w:cstheme="minorHAnsi"/>
          <w:color w:val="000000"/>
          <w:shd w:val="clear" w:color="auto" w:fill="FFFFFF"/>
          <w:lang w:val="de-DE"/>
        </w:rPr>
        <w:t xml:space="preserve"> </w:t>
      </w:r>
      <w:r w:rsidR="005D1FA6" w:rsidRPr="007815F5">
        <w:rPr>
          <w:rFonts w:cstheme="minorHAnsi"/>
          <w:color w:val="000000"/>
          <w:shd w:val="clear" w:color="auto" w:fill="FFFFFF"/>
          <w:lang w:val="de-DE"/>
        </w:rPr>
        <w:t xml:space="preserve">mit </w:t>
      </w:r>
      <w:r w:rsidR="00536803">
        <w:rPr>
          <w:rFonts w:cstheme="minorHAnsi"/>
          <w:color w:val="000000"/>
          <w:shd w:val="clear" w:color="auto" w:fill="FFFFFF"/>
          <w:lang w:val="de-DE"/>
        </w:rPr>
        <w:t>4</w:t>
      </w:r>
      <w:r w:rsidR="00404023">
        <w:rPr>
          <w:rFonts w:cstheme="minorHAnsi"/>
          <w:color w:val="000000"/>
          <w:shd w:val="clear" w:color="auto" w:fill="FFFFFF"/>
          <w:lang w:val="de-DE"/>
        </w:rPr>
        <w:t>4</w:t>
      </w:r>
      <w:r w:rsidR="009B3769">
        <w:rPr>
          <w:rFonts w:cstheme="minorHAnsi"/>
          <w:color w:val="000000"/>
          <w:shd w:val="clear" w:color="auto" w:fill="FFFFFF"/>
          <w:lang w:val="de-DE"/>
        </w:rPr>
        <w:t xml:space="preserve"> </w:t>
      </w:r>
      <w:r w:rsidR="005D1FA6" w:rsidRPr="007815F5">
        <w:rPr>
          <w:rFonts w:cstheme="minorHAnsi"/>
          <w:color w:val="000000"/>
          <w:shd w:val="clear" w:color="auto" w:fill="FFFFFF"/>
          <w:lang w:val="de-DE"/>
        </w:rPr>
        <w:t>Beiträgen</w:t>
      </w:r>
      <w:r w:rsidR="006D46DB">
        <w:rPr>
          <w:rFonts w:cstheme="minorHAnsi"/>
          <w:color w:val="000000"/>
          <w:shd w:val="clear" w:color="auto" w:fill="FFFFFF"/>
          <w:lang w:val="de-DE"/>
        </w:rPr>
        <w:t xml:space="preserve">, </w:t>
      </w:r>
      <w:r w:rsidR="006D46DB" w:rsidRPr="007815F5">
        <w:rPr>
          <w:rFonts w:cstheme="minorHAnsi"/>
          <w:color w:val="000000"/>
          <w:shd w:val="clear" w:color="auto" w:fill="FFFFFF"/>
          <w:lang w:val="de-DE"/>
        </w:rPr>
        <w:t xml:space="preserve">DOI: </w:t>
      </w:r>
      <w:hyperlink r:id="rId31" w:tgtFrame="_blank" w:history="1">
        <w:r w:rsidR="006D46DB" w:rsidRPr="007815F5">
          <w:rPr>
            <w:rStyle w:val="Hyperlink"/>
            <w:rFonts w:cstheme="minorHAnsi"/>
            <w:shd w:val="clear" w:color="auto" w:fill="FFFFFF"/>
            <w:lang w:val="de-DE"/>
          </w:rPr>
          <w:t>10.17176/20220319-001309-0</w:t>
        </w:r>
      </w:hyperlink>
      <w:r w:rsidR="006D46DB">
        <w:rPr>
          <w:rFonts w:cstheme="minorHAnsi"/>
          <w:color w:val="000000"/>
          <w:shd w:val="clear" w:color="auto" w:fill="FFFFFF"/>
          <w:lang w:val="de-DE"/>
        </w:rPr>
        <w:t xml:space="preserve">. </w:t>
      </w:r>
      <w:r w:rsidR="001704D0">
        <w:rPr>
          <w:rFonts w:cstheme="minorHAnsi"/>
          <w:color w:val="000000"/>
          <w:shd w:val="clear" w:color="auto" w:fill="FFFFFF"/>
          <w:lang w:val="de-DE"/>
        </w:rPr>
        <w:t xml:space="preserve"> </w:t>
      </w:r>
    </w:p>
    <w:p w14:paraId="7A0D0196" w14:textId="0CA30B36" w:rsidR="00C574E2" w:rsidRDefault="00C574E2" w:rsidP="006732EA">
      <w:pPr>
        <w:rPr>
          <w:lang w:val="de-DE"/>
        </w:rPr>
      </w:pPr>
      <w:r>
        <w:rPr>
          <w:lang w:val="de-DE"/>
        </w:rPr>
        <w:t xml:space="preserve">Interview durchgeführt von Volker Petersen, </w:t>
      </w:r>
      <w:r w:rsidR="00235B57">
        <w:rPr>
          <w:lang w:val="de-DE"/>
        </w:rPr>
        <w:t xml:space="preserve">Waffen für die Ukraine, n.tv v. 5.3.2022, </w:t>
      </w:r>
      <w:hyperlink r:id="rId32" w:history="1"/>
      <w:r w:rsidR="00A346E2">
        <w:rPr>
          <w:rStyle w:val="Hyperlink"/>
          <w:lang w:val="de-DE"/>
        </w:rPr>
        <w:tab/>
      </w:r>
      <w:r w:rsidR="00934040">
        <w:rPr>
          <w:lang w:val="de-DE"/>
        </w:rPr>
        <w:t>.</w:t>
      </w:r>
    </w:p>
    <w:p w14:paraId="259F6441" w14:textId="0EB47E1F" w:rsidR="007E369E" w:rsidRDefault="00716056" w:rsidP="006732EA">
      <w:pPr>
        <w:rPr>
          <w:lang w:val="de-DE"/>
        </w:rPr>
      </w:pPr>
      <w:r>
        <w:rPr>
          <w:lang w:val="de-DE"/>
        </w:rPr>
        <w:t>Wir brauchen feste Kriterien</w:t>
      </w:r>
      <w:r w:rsidR="000632C1">
        <w:rPr>
          <w:lang w:val="de-DE"/>
        </w:rPr>
        <w:t xml:space="preserve"> für Waffenexporte, in: </w:t>
      </w:r>
      <w:r w:rsidR="008D6B47">
        <w:rPr>
          <w:lang w:val="de-DE"/>
        </w:rPr>
        <w:t xml:space="preserve">Die </w:t>
      </w:r>
      <w:r w:rsidR="000632C1">
        <w:rPr>
          <w:lang w:val="de-DE"/>
        </w:rPr>
        <w:t xml:space="preserve">WELT v. 9.2.2022, S. 7; unter dem Titel: </w:t>
      </w:r>
      <w:r w:rsidR="007E369E">
        <w:rPr>
          <w:lang w:val="de-DE"/>
        </w:rPr>
        <w:t>Keine deutschen Waffen für Konfliktländer? Die Praxis sieht anders aus</w:t>
      </w:r>
      <w:r w:rsidR="000632C1">
        <w:rPr>
          <w:lang w:val="de-DE"/>
        </w:rPr>
        <w:t>, in:</w:t>
      </w:r>
      <w:r w:rsidR="00DA1CD2">
        <w:rPr>
          <w:lang w:val="de-DE"/>
        </w:rPr>
        <w:t xml:space="preserve"> WELT</w:t>
      </w:r>
      <w:r w:rsidR="003540F6">
        <w:rPr>
          <w:lang w:val="de-DE"/>
        </w:rPr>
        <w:t>-</w:t>
      </w:r>
      <w:r w:rsidR="00FB30DD">
        <w:rPr>
          <w:lang w:val="de-DE"/>
        </w:rPr>
        <w:t xml:space="preserve">online </w:t>
      </w:r>
      <w:r w:rsidR="00FA62DE">
        <w:rPr>
          <w:lang w:val="de-DE"/>
        </w:rPr>
        <w:t>v. 2</w:t>
      </w:r>
      <w:r w:rsidR="003540F6">
        <w:rPr>
          <w:lang w:val="de-DE"/>
        </w:rPr>
        <w:t>6</w:t>
      </w:r>
      <w:r w:rsidR="00FA62DE">
        <w:rPr>
          <w:lang w:val="de-DE"/>
        </w:rPr>
        <w:t>.1.2022,</w:t>
      </w:r>
      <w:r w:rsidR="00763AB8">
        <w:rPr>
          <w:lang w:val="de-DE"/>
        </w:rPr>
        <w:t xml:space="preserve"> </w:t>
      </w:r>
      <w:hyperlink r:id="rId33" w:history="1">
        <w:r w:rsidR="009D028B" w:rsidRPr="00CE50B9">
          <w:rPr>
            <w:rStyle w:val="Hyperlink"/>
            <w:lang w:val="de-DE"/>
          </w:rPr>
          <w:t>https://www.welt.de/debatte/kommentare/plus236448757/Ukraine-Krise-Deutschlands-Waffenexport-Haltung-ist-inkonsequent.html</w:t>
        </w:r>
      </w:hyperlink>
      <w:r w:rsidR="009D028B">
        <w:rPr>
          <w:lang w:val="de-DE"/>
        </w:rPr>
        <w:t xml:space="preserve">. </w:t>
      </w:r>
    </w:p>
    <w:p w14:paraId="7D48A954" w14:textId="79ADBE57" w:rsidR="006732EA" w:rsidRPr="003B6645" w:rsidRDefault="00FF63BF" w:rsidP="006732EA">
      <w:pPr>
        <w:rPr>
          <w:lang w:val="de-DE"/>
        </w:rPr>
      </w:pPr>
      <w:r w:rsidRPr="00E046C9">
        <w:rPr>
          <w:lang w:val="de-DE"/>
        </w:rPr>
        <w:t xml:space="preserve">Keine Waffenlieferungen in Krisengebiete? Hinterfragung eines Grundsatzes deutscher Rüstungsexportpolitik, </w:t>
      </w:r>
      <w:proofErr w:type="spellStart"/>
      <w:r w:rsidR="006732EA" w:rsidRPr="00E046C9">
        <w:rPr>
          <w:lang w:val="de-DE"/>
        </w:rPr>
        <w:t>VerfassungsBlog</w:t>
      </w:r>
      <w:proofErr w:type="spellEnd"/>
      <w:r w:rsidR="006732EA" w:rsidRPr="00E046C9">
        <w:rPr>
          <w:lang w:val="de-DE"/>
        </w:rPr>
        <w:t xml:space="preserve"> v. 21.01.2022, </w:t>
      </w:r>
      <w:hyperlink r:id="rId34" w:history="1">
        <w:r w:rsidR="00E046C9" w:rsidRPr="00D327E3">
          <w:rPr>
            <w:rStyle w:val="Hyperlink"/>
            <w:rFonts w:ascii="PT Sans" w:hAnsi="PT Sans"/>
            <w:shd w:val="clear" w:color="auto" w:fill="FFFFFF"/>
            <w:lang w:val="de-DE"/>
          </w:rPr>
          <w:t>https://verfassungsblog.de/keine-waffenlieferungen-in-krisengebiete/</w:t>
        </w:r>
      </w:hyperlink>
      <w:r w:rsidR="008F1000">
        <w:rPr>
          <w:rFonts w:ascii="PT Sans" w:hAnsi="PT Sans"/>
          <w:shd w:val="clear" w:color="auto" w:fill="FFFFFF"/>
          <w:lang w:val="de-DE"/>
        </w:rPr>
        <w:t>, DOI</w:t>
      </w:r>
      <w:r w:rsidR="003B6645">
        <w:rPr>
          <w:rFonts w:ascii="PT Sans" w:hAnsi="PT Sans"/>
          <w:shd w:val="clear" w:color="auto" w:fill="FFFFFF"/>
          <w:lang w:val="de-DE"/>
        </w:rPr>
        <w:t xml:space="preserve">: </w:t>
      </w:r>
      <w:hyperlink r:id="rId35" w:tgtFrame="_blank" w:history="1">
        <w:r w:rsidR="003B6645" w:rsidRPr="003B6645">
          <w:rPr>
            <w:rStyle w:val="Hyperlink"/>
            <w:rFonts w:ascii="PT Sans" w:hAnsi="PT Sans"/>
            <w:shd w:val="clear" w:color="auto" w:fill="FFFFFF"/>
            <w:lang w:val="de-DE"/>
          </w:rPr>
          <w:t>10.17176/20220121-163159-0</w:t>
        </w:r>
      </w:hyperlink>
      <w:r w:rsidR="003B6645" w:rsidRPr="003B6645">
        <w:rPr>
          <w:rFonts w:ascii="PT Sans" w:hAnsi="PT Sans"/>
          <w:color w:val="000000"/>
          <w:shd w:val="clear" w:color="auto" w:fill="FFFFFF"/>
          <w:lang w:val="de-DE"/>
        </w:rPr>
        <w:t>.</w:t>
      </w:r>
    </w:p>
    <w:p w14:paraId="0EA8FB4D" w14:textId="3032DE0B" w:rsidR="007F1453" w:rsidRPr="009F7E06" w:rsidRDefault="007F1453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Porträt: </w:t>
      </w:r>
      <w:proofErr w:type="spellStart"/>
      <w:r w:rsidRPr="009F7E06">
        <w:rPr>
          <w:rFonts w:cstheme="minorHAnsi"/>
          <w:lang w:val="de-DE"/>
        </w:rPr>
        <w:t>Aqilah</w:t>
      </w:r>
      <w:proofErr w:type="spellEnd"/>
      <w:r w:rsidRPr="009F7E06">
        <w:rPr>
          <w:rFonts w:cstheme="minorHAnsi"/>
          <w:lang w:val="de-DE"/>
        </w:rPr>
        <w:t xml:space="preserve"> </w:t>
      </w:r>
      <w:proofErr w:type="spellStart"/>
      <w:r w:rsidRPr="009F7E06">
        <w:rPr>
          <w:rFonts w:cstheme="minorHAnsi"/>
          <w:lang w:val="de-DE"/>
        </w:rPr>
        <w:t>Sandhu</w:t>
      </w:r>
      <w:proofErr w:type="spellEnd"/>
      <w:r w:rsidRPr="009F7E06">
        <w:rPr>
          <w:rFonts w:cstheme="minorHAnsi"/>
          <w:lang w:val="de-DE"/>
        </w:rPr>
        <w:t xml:space="preserve">, in: </w:t>
      </w:r>
      <w:proofErr w:type="spellStart"/>
      <w:r w:rsidRPr="009F7E06">
        <w:rPr>
          <w:rFonts w:cstheme="minorHAnsi"/>
          <w:lang w:val="de-DE"/>
        </w:rPr>
        <w:t>djbZ</w:t>
      </w:r>
      <w:proofErr w:type="spellEnd"/>
      <w:r w:rsidRPr="009F7E06">
        <w:rPr>
          <w:rFonts w:cstheme="minorHAnsi"/>
          <w:lang w:val="de-DE"/>
        </w:rPr>
        <w:t xml:space="preserve"> Zeitschrift des Deutschen Juristinnenbundes Nr. 24/1 (2021), 55-58 (gemeinsam mit Sina Fontana). </w:t>
      </w:r>
    </w:p>
    <w:p w14:paraId="3186D166" w14:textId="762F0B30" w:rsidR="00D53C5C" w:rsidRPr="009F7E06" w:rsidRDefault="00D53C5C" w:rsidP="00D53C5C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Das Volk – ein “Problem” der Demokratie? (gemeinsam mit Tine Stein und Claudio Franzius), </w:t>
      </w:r>
      <w:proofErr w:type="spellStart"/>
      <w:r w:rsidRPr="009F7E06">
        <w:rPr>
          <w:rFonts w:cstheme="minorHAnsi"/>
          <w:lang w:val="de-DE"/>
        </w:rPr>
        <w:t>VerfassungsBlog</w:t>
      </w:r>
      <w:proofErr w:type="spellEnd"/>
      <w:r w:rsidRPr="009F7E06">
        <w:rPr>
          <w:rFonts w:cstheme="minorHAnsi"/>
          <w:lang w:val="de-DE"/>
        </w:rPr>
        <w:t xml:space="preserve"> v. 24.2.2020, </w:t>
      </w:r>
      <w:hyperlink r:id="rId36" w:history="1">
        <w:r w:rsidRPr="009F7E06">
          <w:rPr>
            <w:rStyle w:val="Hyperlink"/>
            <w:rFonts w:cstheme="minorHAnsi"/>
            <w:lang w:val="de-DE"/>
          </w:rPr>
          <w:t>https://verfassungsblog.de/das-volk-ein-problem-der-demokratie/</w:t>
        </w:r>
      </w:hyperlink>
      <w:r w:rsidR="002C7F07" w:rsidRPr="009F7E06">
        <w:rPr>
          <w:rFonts w:cstheme="minorHAnsi"/>
          <w:lang w:val="de-DE"/>
        </w:rPr>
        <w:t xml:space="preserve">, </w:t>
      </w:r>
      <w:r w:rsidR="002C7F07" w:rsidRPr="00A30176">
        <w:rPr>
          <w:rFonts w:cstheme="minorHAnsi"/>
          <w:bCs/>
          <w:lang w:val="de-DE"/>
        </w:rPr>
        <w:t>DOI:</w:t>
      </w:r>
      <w:r w:rsidR="00193F6C" w:rsidRPr="009F7E06">
        <w:rPr>
          <w:rFonts w:cstheme="minorHAnsi"/>
          <w:lang w:val="de-DE"/>
        </w:rPr>
        <w:t xml:space="preserve"> </w:t>
      </w:r>
      <w:hyperlink r:id="rId37" w:tgtFrame="_blank" w:history="1">
        <w:r w:rsidR="00193F6C" w:rsidRPr="009F7E06">
          <w:rPr>
            <w:rStyle w:val="Hyperlink"/>
            <w:rFonts w:cstheme="minorHAnsi"/>
            <w:lang w:val="de-DE"/>
          </w:rPr>
          <w:t>https://doi.org/</w:t>
        </w:r>
        <w:r w:rsidR="002C7F07" w:rsidRPr="009F7E06">
          <w:rPr>
            <w:rStyle w:val="Hyperlink"/>
            <w:rFonts w:cstheme="minorHAnsi"/>
            <w:shd w:val="clear" w:color="auto" w:fill="FFFFFF"/>
            <w:lang w:val="de-DE"/>
          </w:rPr>
          <w:t>10.17176/20200224-105138-0</w:t>
        </w:r>
        <w:r w:rsidR="002C7F07" w:rsidRPr="009F7E06">
          <w:rPr>
            <w:rStyle w:val="Hyperlink"/>
            <w:rFonts w:cstheme="minorHAnsi"/>
            <w:lang w:val="de-DE"/>
          </w:rPr>
          <w:t>.</w:t>
        </w:r>
      </w:hyperlink>
    </w:p>
    <w:p w14:paraId="1C1C0974" w14:textId="77777777" w:rsidR="00D53C5C" w:rsidRPr="009F7E06" w:rsidRDefault="00D53C5C" w:rsidP="00D53C5C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Herausgeberschaft des Symposions: Das Volk – ein „Problem“ der Demokratie? Mit Beiträgen von Ulrich K. Preuß, Christine </w:t>
      </w:r>
      <w:proofErr w:type="spellStart"/>
      <w:r w:rsidRPr="009F7E06">
        <w:rPr>
          <w:rFonts w:cstheme="minorHAnsi"/>
          <w:lang w:val="de-DE"/>
        </w:rPr>
        <w:t>Landfried</w:t>
      </w:r>
      <w:proofErr w:type="spellEnd"/>
      <w:r w:rsidRPr="009F7E06">
        <w:rPr>
          <w:rFonts w:cstheme="minorHAnsi"/>
          <w:lang w:val="de-DE"/>
        </w:rPr>
        <w:t xml:space="preserve">, Dieter Grimm, David Abraham, Dana Schmalz, Verena Frick, Tim Wihl, </w:t>
      </w:r>
      <w:proofErr w:type="spellStart"/>
      <w:r w:rsidRPr="009F7E06">
        <w:rPr>
          <w:rFonts w:cstheme="minorHAnsi"/>
          <w:lang w:val="de-DE"/>
        </w:rPr>
        <w:t>VerfassungsBlog</w:t>
      </w:r>
      <w:proofErr w:type="spellEnd"/>
      <w:r w:rsidRPr="009F7E06">
        <w:rPr>
          <w:rFonts w:cstheme="minorHAnsi"/>
          <w:lang w:val="de-DE"/>
        </w:rPr>
        <w:t xml:space="preserve"> 02/2020, </w:t>
      </w:r>
      <w:hyperlink r:id="rId38" w:history="1">
        <w:r w:rsidRPr="009F7E06">
          <w:rPr>
            <w:rStyle w:val="Hyperlink"/>
            <w:rFonts w:cstheme="minorHAnsi"/>
            <w:lang w:val="de-DE"/>
          </w:rPr>
          <w:t>https://verfassungsblog.de/category/debates/das-volk-ein-problem-der-demokratie/</w:t>
        </w:r>
      </w:hyperlink>
      <w:r w:rsidRPr="009F7E06">
        <w:rPr>
          <w:rFonts w:cstheme="minorHAnsi"/>
          <w:lang w:val="de-DE"/>
        </w:rPr>
        <w:t xml:space="preserve"> (17.2.2021), gemeinsam mit Tine Stein und Claudio Franzius. </w:t>
      </w:r>
    </w:p>
    <w:p w14:paraId="0EA8FB4E" w14:textId="6A807856" w:rsidR="00564602" w:rsidRPr="009F7E06" w:rsidRDefault="00564602">
      <w:pPr>
        <w:rPr>
          <w:rFonts w:cstheme="minorHAnsi"/>
          <w:lang w:val="de-DE"/>
        </w:rPr>
      </w:pPr>
      <w:r w:rsidRPr="009F7E06">
        <w:rPr>
          <w:rFonts w:cstheme="minorHAnsi"/>
          <w:lang w:val="de-DE"/>
        </w:rPr>
        <w:t xml:space="preserve">Rezension: Jo Leinen / Andreas Bummel, Das demokratische Weltparlament – Eine kosmopolitische Vision, in: </w:t>
      </w:r>
      <w:proofErr w:type="spellStart"/>
      <w:r w:rsidRPr="009F7E06">
        <w:rPr>
          <w:rFonts w:cstheme="minorHAnsi"/>
          <w:lang w:val="de-DE"/>
        </w:rPr>
        <w:t>ZaöRV</w:t>
      </w:r>
      <w:proofErr w:type="spellEnd"/>
      <w:r w:rsidRPr="009F7E06">
        <w:rPr>
          <w:rFonts w:cstheme="minorHAnsi"/>
          <w:lang w:val="de-DE"/>
        </w:rPr>
        <w:t xml:space="preserve"> 79:1 (2019), 185-188. </w:t>
      </w:r>
    </w:p>
    <w:p w14:paraId="119FD070" w14:textId="71E2B306" w:rsidR="001550C2" w:rsidRPr="009F7E06" w:rsidRDefault="001550C2" w:rsidP="001550C2">
      <w:pPr>
        <w:rPr>
          <w:rFonts w:cstheme="minorHAnsi"/>
          <w:lang w:val="en-US"/>
        </w:rPr>
      </w:pPr>
      <w:r w:rsidRPr="009F7E06">
        <w:rPr>
          <w:rFonts w:cstheme="minorHAnsi"/>
          <w:lang w:val="en-US"/>
        </w:rPr>
        <w:t xml:space="preserve">Legal personality for the OSCE? Some observations at the occasion of the recent conference on the legal status of the OSCE, </w:t>
      </w:r>
      <w:proofErr w:type="spellStart"/>
      <w:r w:rsidRPr="009F7E06">
        <w:rPr>
          <w:rFonts w:cstheme="minorHAnsi"/>
          <w:lang w:val="en-US"/>
        </w:rPr>
        <w:t>Völkerrechtsblog</w:t>
      </w:r>
      <w:proofErr w:type="spellEnd"/>
      <w:r w:rsidRPr="009F7E06">
        <w:rPr>
          <w:rFonts w:cstheme="minorHAnsi"/>
          <w:lang w:val="en-US"/>
        </w:rPr>
        <w:t xml:space="preserve"> v. 8.8.2016, </w:t>
      </w:r>
      <w:r w:rsidR="00C933EA" w:rsidRPr="00A30176">
        <w:rPr>
          <w:rFonts w:cstheme="minorHAnsi"/>
          <w:bCs/>
          <w:lang w:val="en-US"/>
        </w:rPr>
        <w:t>DOI</w:t>
      </w:r>
      <w:r w:rsidRPr="00A30176">
        <w:rPr>
          <w:rFonts w:cstheme="minorHAnsi"/>
          <w:bCs/>
          <w:lang w:val="en-US"/>
        </w:rPr>
        <w:t>:</w:t>
      </w:r>
      <w:r w:rsidRPr="009F7E06">
        <w:rPr>
          <w:rFonts w:cstheme="minorHAnsi"/>
          <w:lang w:val="en-US"/>
        </w:rPr>
        <w:t xml:space="preserve"> </w:t>
      </w:r>
      <w:hyperlink r:id="rId39" w:history="1">
        <w:r w:rsidR="00963436" w:rsidRPr="009F7E06">
          <w:rPr>
            <w:rStyle w:val="Hyperlink"/>
            <w:rFonts w:cstheme="minorHAnsi"/>
            <w:lang w:val="en-US"/>
          </w:rPr>
          <w:t>https://doi.org/</w:t>
        </w:r>
        <w:r w:rsidRPr="009F7E06">
          <w:rPr>
            <w:rStyle w:val="Hyperlink"/>
            <w:rFonts w:cstheme="minorHAnsi"/>
            <w:shd w:val="clear" w:color="auto" w:fill="FFFFFF"/>
          </w:rPr>
          <w:t>10.17176/20180412-220258</w:t>
        </w:r>
      </w:hyperlink>
      <w:r w:rsidRPr="009F7E06">
        <w:rPr>
          <w:rFonts w:cstheme="minorHAnsi"/>
          <w:color w:val="000000"/>
          <w:shd w:val="clear" w:color="auto" w:fill="FFFFFF"/>
        </w:rPr>
        <w:t>.</w:t>
      </w:r>
    </w:p>
    <w:p w14:paraId="0EA8FB50" w14:textId="10B2C9DC" w:rsidR="004F2C07" w:rsidRPr="009F7E06" w:rsidRDefault="004F2C07" w:rsidP="004F2C07">
      <w:pPr>
        <w:rPr>
          <w:rFonts w:cstheme="minorHAnsi"/>
          <w:lang w:val="en-US"/>
        </w:rPr>
      </w:pPr>
      <w:r w:rsidRPr="009F7E06">
        <w:rPr>
          <w:rFonts w:cstheme="minorHAnsi"/>
          <w:lang w:val="en-US"/>
        </w:rPr>
        <w:t xml:space="preserve">Book Review: Samantha Besson / John </w:t>
      </w:r>
      <w:proofErr w:type="spellStart"/>
      <w:r w:rsidRPr="009F7E06">
        <w:rPr>
          <w:rFonts w:cstheme="minorHAnsi"/>
          <w:lang w:val="en-US"/>
        </w:rPr>
        <w:t>Tasioulas</w:t>
      </w:r>
      <w:proofErr w:type="spellEnd"/>
      <w:r w:rsidRPr="009F7E06">
        <w:rPr>
          <w:rFonts w:cstheme="minorHAnsi"/>
          <w:lang w:val="en-US"/>
        </w:rPr>
        <w:t xml:space="preserve"> (eds.), The Philosophy of International Law, in: European Journal of International Law 22:4 (2011), 1180-1184</w:t>
      </w:r>
      <w:r w:rsidR="009D0FF0" w:rsidRPr="009F7E06">
        <w:rPr>
          <w:rFonts w:cstheme="minorHAnsi"/>
          <w:lang w:val="en-US"/>
        </w:rPr>
        <w:t xml:space="preserve">, </w:t>
      </w:r>
      <w:r w:rsidR="009D0FF0" w:rsidRPr="00A30176">
        <w:rPr>
          <w:rFonts w:cstheme="minorHAnsi"/>
          <w:bCs/>
          <w:lang w:val="en-US"/>
        </w:rPr>
        <w:t>DOI:</w:t>
      </w:r>
      <w:r w:rsidR="009D0FF0" w:rsidRPr="009F7E06">
        <w:rPr>
          <w:rFonts w:cstheme="minorHAnsi"/>
          <w:b/>
          <w:bCs/>
          <w:lang w:val="en-US"/>
        </w:rPr>
        <w:t xml:space="preserve"> </w:t>
      </w:r>
      <w:hyperlink r:id="rId40" w:history="1">
        <w:r w:rsidR="009D0FF0" w:rsidRPr="009F7E06">
          <w:rPr>
            <w:rStyle w:val="Hyperlink"/>
            <w:rFonts w:cstheme="minorHAnsi"/>
            <w:lang w:val="en-US"/>
          </w:rPr>
          <w:t>https://doi.org/10.1093/ejil/chr091</w:t>
        </w:r>
      </w:hyperlink>
      <w:r w:rsidR="009D0FF0" w:rsidRPr="009F7E06">
        <w:rPr>
          <w:rFonts w:cstheme="minorHAnsi"/>
          <w:lang w:val="en-US"/>
        </w:rPr>
        <w:t>.</w:t>
      </w:r>
    </w:p>
    <w:p w14:paraId="0EA8FB51" w14:textId="223F5655" w:rsidR="004F2C07" w:rsidRPr="00247845" w:rsidRDefault="004F2C07" w:rsidP="004F2C07">
      <w:pPr>
        <w:rPr>
          <w:rFonts w:eastAsia="Times New Roman" w:cstheme="minorHAnsi"/>
          <w:lang w:val="en-US" w:eastAsia="de-DE"/>
        </w:rPr>
      </w:pPr>
      <w:r w:rsidRPr="009F7E06">
        <w:rPr>
          <w:rFonts w:cstheme="minorHAnsi"/>
          <w:lang w:val="en-US"/>
        </w:rPr>
        <w:t xml:space="preserve">Which role for theory in International Law? Report on the Workshop </w:t>
      </w:r>
      <w:proofErr w:type="spellStart"/>
      <w:r w:rsidRPr="009F7E06">
        <w:rPr>
          <w:rFonts w:cstheme="minorHAnsi"/>
          <w:lang w:val="en-US"/>
        </w:rPr>
        <w:t>Kelsen</w:t>
      </w:r>
      <w:proofErr w:type="spellEnd"/>
      <w:r w:rsidRPr="009F7E06">
        <w:rPr>
          <w:rFonts w:cstheme="minorHAnsi"/>
          <w:lang w:val="en-US"/>
        </w:rPr>
        <w:t xml:space="preserve"> – Schmitt – Arendt: Constitutionalism in (International) Law”, Leipzig, June 11/12, 2009, in: </w:t>
      </w:r>
      <w:proofErr w:type="spellStart"/>
      <w:r w:rsidRPr="009F7E06">
        <w:rPr>
          <w:rFonts w:cstheme="minorHAnsi"/>
          <w:lang w:val="en-US"/>
        </w:rPr>
        <w:t>GermanLawJournal</w:t>
      </w:r>
      <w:proofErr w:type="spellEnd"/>
      <w:r w:rsidRPr="009F7E06">
        <w:rPr>
          <w:rFonts w:cstheme="minorHAnsi"/>
          <w:lang w:val="en-US"/>
        </w:rPr>
        <w:t xml:space="preserve"> 11:11 (2010), 1306-1322</w:t>
      </w:r>
      <w:r w:rsidR="009D0FF0" w:rsidRPr="009F7E06">
        <w:rPr>
          <w:rFonts w:cstheme="minorHAnsi"/>
          <w:lang w:val="en-US"/>
        </w:rPr>
        <w:t xml:space="preserve">, </w:t>
      </w:r>
      <w:r w:rsidR="009D0FF0" w:rsidRPr="00A30176">
        <w:rPr>
          <w:rFonts w:cstheme="minorHAnsi"/>
          <w:bCs/>
          <w:lang w:val="en-US"/>
        </w:rPr>
        <w:t>DOI:</w:t>
      </w:r>
      <w:r w:rsidR="009D0FF0" w:rsidRPr="009F7E06">
        <w:rPr>
          <w:rFonts w:cstheme="minorHAnsi"/>
          <w:lang w:val="en-US"/>
        </w:rPr>
        <w:t xml:space="preserve"> </w:t>
      </w:r>
      <w:hyperlink r:id="rId41" w:history="1">
        <w:r w:rsidR="009D0FF0" w:rsidRPr="009F7E06">
          <w:rPr>
            <w:rStyle w:val="Hyperlink"/>
            <w:rFonts w:cstheme="minorHAnsi"/>
            <w:lang w:val="en-US"/>
          </w:rPr>
          <w:t>https://doi.org/</w:t>
        </w:r>
        <w:r w:rsidR="009D0FF0" w:rsidRPr="00247845">
          <w:rPr>
            <w:rStyle w:val="Hyperlink"/>
            <w:rFonts w:eastAsia="Times New Roman" w:cstheme="minorHAnsi"/>
            <w:shd w:val="clear" w:color="auto" w:fill="FFFFFF"/>
            <w:lang w:val="en-US" w:eastAsia="de-DE"/>
          </w:rPr>
          <w:t>10.1017/S2071832200020241</w:t>
        </w:r>
      </w:hyperlink>
      <w:r w:rsidR="009D0FF0" w:rsidRPr="00247845">
        <w:rPr>
          <w:rFonts w:eastAsia="Times New Roman" w:cstheme="minorHAnsi"/>
          <w:lang w:val="en-US" w:eastAsia="de-DE"/>
        </w:rPr>
        <w:t>.</w:t>
      </w:r>
    </w:p>
    <w:p w14:paraId="455F6927" w14:textId="6DFAB11B" w:rsidR="00386525" w:rsidRPr="00332378" w:rsidRDefault="003823E7" w:rsidP="00386525">
      <w:pPr>
        <w:rPr>
          <w:rFonts w:eastAsia="Times New Roman" w:cstheme="minorHAnsi"/>
          <w:lang w:val="en-US" w:eastAsia="de-DE"/>
        </w:rPr>
      </w:pPr>
      <w:r w:rsidRPr="009F7E06">
        <w:rPr>
          <w:rFonts w:cstheme="minorHAnsi"/>
          <w:lang w:val="en-US"/>
        </w:rPr>
        <w:t xml:space="preserve">Legal Protection against the UN-Security Council between European and International Law: A Kafkaesque Situation? Report on the fall conference of the graduate program “Multilevel constitutionalism” in Berlin, 8 December 2006, in: </w:t>
      </w:r>
      <w:proofErr w:type="spellStart"/>
      <w:r w:rsidRPr="009F7E06">
        <w:rPr>
          <w:rFonts w:cstheme="minorHAnsi"/>
          <w:lang w:val="en-US"/>
        </w:rPr>
        <w:t>GermanLawJournal</w:t>
      </w:r>
      <w:proofErr w:type="spellEnd"/>
      <w:r w:rsidRPr="009F7E06">
        <w:rPr>
          <w:rFonts w:cstheme="minorHAnsi"/>
          <w:lang w:val="en-US"/>
        </w:rPr>
        <w:t xml:space="preserve"> 8:3 (2007), 279-294</w:t>
      </w:r>
      <w:r w:rsidR="009D0FF0" w:rsidRPr="009F7E06">
        <w:rPr>
          <w:rFonts w:cstheme="minorHAnsi"/>
          <w:lang w:val="en-US"/>
        </w:rPr>
        <w:t xml:space="preserve">, </w:t>
      </w:r>
      <w:r w:rsidR="009D0FF0" w:rsidRPr="00A30176">
        <w:rPr>
          <w:rFonts w:cstheme="minorHAnsi"/>
          <w:bCs/>
          <w:lang w:val="en-US"/>
        </w:rPr>
        <w:t>DOI:</w:t>
      </w:r>
      <w:r w:rsidR="009D0FF0" w:rsidRPr="009F7E06">
        <w:rPr>
          <w:rFonts w:cstheme="minorHAnsi"/>
          <w:lang w:val="en-US"/>
        </w:rPr>
        <w:t xml:space="preserve"> </w:t>
      </w:r>
      <w:hyperlink r:id="rId42" w:history="1">
        <w:r w:rsidR="009D0FF0" w:rsidRPr="009F7E06">
          <w:rPr>
            <w:rStyle w:val="Hyperlink"/>
            <w:rFonts w:cstheme="minorHAnsi"/>
            <w:lang w:val="en-US"/>
          </w:rPr>
          <w:t>https://doi.org/</w:t>
        </w:r>
        <w:r w:rsidR="009D0FF0" w:rsidRPr="00247845">
          <w:rPr>
            <w:rStyle w:val="Hyperlink"/>
            <w:rFonts w:eastAsia="Times New Roman" w:cstheme="minorHAnsi"/>
            <w:shd w:val="clear" w:color="auto" w:fill="FFFFFF"/>
            <w:lang w:val="en-US" w:eastAsia="de-DE"/>
          </w:rPr>
          <w:t>10.1017/S2071832200005587</w:t>
        </w:r>
      </w:hyperlink>
      <w:r w:rsidR="009D0FF0" w:rsidRPr="00247845">
        <w:rPr>
          <w:rFonts w:eastAsia="Times New Roman" w:cstheme="minorHAnsi"/>
          <w:color w:val="000000"/>
          <w:shd w:val="clear" w:color="auto" w:fill="FFFFFF"/>
          <w:lang w:val="en-US" w:eastAsia="de-DE"/>
        </w:rPr>
        <w:t>.</w:t>
      </w:r>
    </w:p>
    <w:sectPr w:rsidR="00386525" w:rsidRPr="00332378">
      <w:footerReference w:type="default" r:id="rId4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51B4" w14:textId="77777777" w:rsidR="00AE42AF" w:rsidRDefault="00AE42AF" w:rsidP="00F70E89">
      <w:pPr>
        <w:spacing w:after="0" w:line="240" w:lineRule="auto"/>
      </w:pPr>
      <w:r>
        <w:separator/>
      </w:r>
    </w:p>
  </w:endnote>
  <w:endnote w:type="continuationSeparator" w:id="0">
    <w:p w14:paraId="73C015B4" w14:textId="77777777" w:rsidR="00AE42AF" w:rsidRDefault="00AE42AF" w:rsidP="00F70E89">
      <w:pPr>
        <w:spacing w:after="0" w:line="240" w:lineRule="auto"/>
      </w:pPr>
      <w:r>
        <w:continuationSeparator/>
      </w:r>
    </w:p>
  </w:endnote>
  <w:endnote w:type="continuationNotice" w:id="1">
    <w:p w14:paraId="4338933E" w14:textId="77777777" w:rsidR="00AE42AF" w:rsidRDefault="00AE42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922902"/>
      <w:docPartObj>
        <w:docPartGallery w:val="Page Numbers (Bottom of Page)"/>
        <w:docPartUnique/>
      </w:docPartObj>
    </w:sdtPr>
    <w:sdtEndPr/>
    <w:sdtContent>
      <w:p w14:paraId="2D7C5BEE" w14:textId="18D271C7" w:rsidR="00F70E89" w:rsidRDefault="00F70E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3CC0A23" w14:textId="77777777" w:rsidR="00F70E89" w:rsidRDefault="00F70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0173" w14:textId="77777777" w:rsidR="00AE42AF" w:rsidRDefault="00AE42AF" w:rsidP="00F70E89">
      <w:pPr>
        <w:spacing w:after="0" w:line="240" w:lineRule="auto"/>
      </w:pPr>
      <w:r>
        <w:separator/>
      </w:r>
    </w:p>
  </w:footnote>
  <w:footnote w:type="continuationSeparator" w:id="0">
    <w:p w14:paraId="31F98FD1" w14:textId="77777777" w:rsidR="00AE42AF" w:rsidRDefault="00AE42AF" w:rsidP="00F70E89">
      <w:pPr>
        <w:spacing w:after="0" w:line="240" w:lineRule="auto"/>
      </w:pPr>
      <w:r>
        <w:continuationSeparator/>
      </w:r>
    </w:p>
  </w:footnote>
  <w:footnote w:type="continuationNotice" w:id="1">
    <w:p w14:paraId="315C0212" w14:textId="77777777" w:rsidR="00AE42AF" w:rsidRDefault="00AE42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9AB"/>
    <w:multiLevelType w:val="hybridMultilevel"/>
    <w:tmpl w:val="463A8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CB8"/>
    <w:multiLevelType w:val="multilevel"/>
    <w:tmpl w:val="9FD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D28EC"/>
    <w:multiLevelType w:val="hybridMultilevel"/>
    <w:tmpl w:val="77A807CE"/>
    <w:lvl w:ilvl="0" w:tplc="B3626DD2">
      <w:start w:val="200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59255">
    <w:abstractNumId w:val="2"/>
  </w:num>
  <w:num w:numId="2" w16cid:durableId="1484199464">
    <w:abstractNumId w:val="0"/>
  </w:num>
  <w:num w:numId="3" w16cid:durableId="118995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B3"/>
    <w:rsid w:val="00005523"/>
    <w:rsid w:val="00005FE0"/>
    <w:rsid w:val="00042028"/>
    <w:rsid w:val="00047813"/>
    <w:rsid w:val="00054B7E"/>
    <w:rsid w:val="0005660A"/>
    <w:rsid w:val="000632C1"/>
    <w:rsid w:val="000733A8"/>
    <w:rsid w:val="000B361A"/>
    <w:rsid w:val="000C2A9A"/>
    <w:rsid w:val="000D2297"/>
    <w:rsid w:val="000D5D53"/>
    <w:rsid w:val="00106DA1"/>
    <w:rsid w:val="00123EA1"/>
    <w:rsid w:val="00133402"/>
    <w:rsid w:val="001550C2"/>
    <w:rsid w:val="001579F2"/>
    <w:rsid w:val="0016190C"/>
    <w:rsid w:val="00162D37"/>
    <w:rsid w:val="0016576A"/>
    <w:rsid w:val="001704D0"/>
    <w:rsid w:val="00193F6C"/>
    <w:rsid w:val="001A4686"/>
    <w:rsid w:val="001D2112"/>
    <w:rsid w:val="001F1EC7"/>
    <w:rsid w:val="001F7D8E"/>
    <w:rsid w:val="002228C7"/>
    <w:rsid w:val="00227879"/>
    <w:rsid w:val="0023170D"/>
    <w:rsid w:val="00235B57"/>
    <w:rsid w:val="00245447"/>
    <w:rsid w:val="00247845"/>
    <w:rsid w:val="00251CC0"/>
    <w:rsid w:val="00260414"/>
    <w:rsid w:val="002704B2"/>
    <w:rsid w:val="00271B54"/>
    <w:rsid w:val="002736CC"/>
    <w:rsid w:val="00276781"/>
    <w:rsid w:val="00277979"/>
    <w:rsid w:val="00293058"/>
    <w:rsid w:val="002A0FB9"/>
    <w:rsid w:val="002A1DA7"/>
    <w:rsid w:val="002A47F1"/>
    <w:rsid w:val="002C7F07"/>
    <w:rsid w:val="002D7399"/>
    <w:rsid w:val="002E2537"/>
    <w:rsid w:val="002F6BC4"/>
    <w:rsid w:val="00300BF5"/>
    <w:rsid w:val="0030142F"/>
    <w:rsid w:val="00312068"/>
    <w:rsid w:val="00316C2F"/>
    <w:rsid w:val="003203AE"/>
    <w:rsid w:val="00326D21"/>
    <w:rsid w:val="00330902"/>
    <w:rsid w:val="00332378"/>
    <w:rsid w:val="00341CAA"/>
    <w:rsid w:val="0035116E"/>
    <w:rsid w:val="003540F6"/>
    <w:rsid w:val="0037011F"/>
    <w:rsid w:val="0037467E"/>
    <w:rsid w:val="00377581"/>
    <w:rsid w:val="003823E7"/>
    <w:rsid w:val="0038526C"/>
    <w:rsid w:val="00386525"/>
    <w:rsid w:val="003B6645"/>
    <w:rsid w:val="003C48B8"/>
    <w:rsid w:val="003D0201"/>
    <w:rsid w:val="003D132C"/>
    <w:rsid w:val="003E695A"/>
    <w:rsid w:val="003F2B72"/>
    <w:rsid w:val="003F4136"/>
    <w:rsid w:val="003F4B5B"/>
    <w:rsid w:val="003F7393"/>
    <w:rsid w:val="004012F5"/>
    <w:rsid w:val="00404023"/>
    <w:rsid w:val="00414E83"/>
    <w:rsid w:val="00433401"/>
    <w:rsid w:val="00441957"/>
    <w:rsid w:val="00462C85"/>
    <w:rsid w:val="00477C18"/>
    <w:rsid w:val="00491C97"/>
    <w:rsid w:val="0049626C"/>
    <w:rsid w:val="004966AC"/>
    <w:rsid w:val="004A5B6B"/>
    <w:rsid w:val="004B7549"/>
    <w:rsid w:val="004D04C1"/>
    <w:rsid w:val="004D5B89"/>
    <w:rsid w:val="004F2C07"/>
    <w:rsid w:val="004F723A"/>
    <w:rsid w:val="00500D92"/>
    <w:rsid w:val="0052001C"/>
    <w:rsid w:val="005319F2"/>
    <w:rsid w:val="00536803"/>
    <w:rsid w:val="005457DB"/>
    <w:rsid w:val="005515D5"/>
    <w:rsid w:val="00564602"/>
    <w:rsid w:val="00570D2E"/>
    <w:rsid w:val="0057206A"/>
    <w:rsid w:val="00573D25"/>
    <w:rsid w:val="00574B52"/>
    <w:rsid w:val="005867E4"/>
    <w:rsid w:val="00594F0F"/>
    <w:rsid w:val="005B03EF"/>
    <w:rsid w:val="005C3C30"/>
    <w:rsid w:val="005D1FA6"/>
    <w:rsid w:val="005F1F47"/>
    <w:rsid w:val="005F764C"/>
    <w:rsid w:val="005F7AF3"/>
    <w:rsid w:val="00616B5C"/>
    <w:rsid w:val="00620DDB"/>
    <w:rsid w:val="00662612"/>
    <w:rsid w:val="006732EA"/>
    <w:rsid w:val="00674B6A"/>
    <w:rsid w:val="00676B22"/>
    <w:rsid w:val="00684C7C"/>
    <w:rsid w:val="00685863"/>
    <w:rsid w:val="00692D31"/>
    <w:rsid w:val="006A0AAB"/>
    <w:rsid w:val="006C1CD4"/>
    <w:rsid w:val="006C7128"/>
    <w:rsid w:val="006D46DB"/>
    <w:rsid w:val="006E1F65"/>
    <w:rsid w:val="007051E0"/>
    <w:rsid w:val="00716056"/>
    <w:rsid w:val="00731552"/>
    <w:rsid w:val="00734EB2"/>
    <w:rsid w:val="007361BF"/>
    <w:rsid w:val="00763AB8"/>
    <w:rsid w:val="0078118F"/>
    <w:rsid w:val="007815E7"/>
    <w:rsid w:val="007815F5"/>
    <w:rsid w:val="0078328B"/>
    <w:rsid w:val="00787AEB"/>
    <w:rsid w:val="00795D4F"/>
    <w:rsid w:val="00796A33"/>
    <w:rsid w:val="007A51F9"/>
    <w:rsid w:val="007C21C9"/>
    <w:rsid w:val="007C3D26"/>
    <w:rsid w:val="007E30F1"/>
    <w:rsid w:val="007E369E"/>
    <w:rsid w:val="007E50E0"/>
    <w:rsid w:val="007F1453"/>
    <w:rsid w:val="007F2139"/>
    <w:rsid w:val="008230FF"/>
    <w:rsid w:val="008235B1"/>
    <w:rsid w:val="008370BF"/>
    <w:rsid w:val="00840AD6"/>
    <w:rsid w:val="0085282D"/>
    <w:rsid w:val="00886BCE"/>
    <w:rsid w:val="00891C34"/>
    <w:rsid w:val="008974AC"/>
    <w:rsid w:val="008C5BE6"/>
    <w:rsid w:val="008D47DB"/>
    <w:rsid w:val="008D6B47"/>
    <w:rsid w:val="008E38BA"/>
    <w:rsid w:val="008E629C"/>
    <w:rsid w:val="008F1000"/>
    <w:rsid w:val="00900861"/>
    <w:rsid w:val="009044BE"/>
    <w:rsid w:val="0090798F"/>
    <w:rsid w:val="00931176"/>
    <w:rsid w:val="00934040"/>
    <w:rsid w:val="00934A32"/>
    <w:rsid w:val="00950D39"/>
    <w:rsid w:val="00963436"/>
    <w:rsid w:val="009678D6"/>
    <w:rsid w:val="00981108"/>
    <w:rsid w:val="009B1276"/>
    <w:rsid w:val="009B3769"/>
    <w:rsid w:val="009C0D56"/>
    <w:rsid w:val="009D006A"/>
    <w:rsid w:val="009D028B"/>
    <w:rsid w:val="009D0FF0"/>
    <w:rsid w:val="009E29BD"/>
    <w:rsid w:val="009F52CD"/>
    <w:rsid w:val="009F60CE"/>
    <w:rsid w:val="009F7E06"/>
    <w:rsid w:val="00A30176"/>
    <w:rsid w:val="00A346E2"/>
    <w:rsid w:val="00A57728"/>
    <w:rsid w:val="00A6045C"/>
    <w:rsid w:val="00A72C98"/>
    <w:rsid w:val="00A912B1"/>
    <w:rsid w:val="00AA1B4D"/>
    <w:rsid w:val="00AA2F87"/>
    <w:rsid w:val="00AB70D1"/>
    <w:rsid w:val="00AE03C0"/>
    <w:rsid w:val="00AE3CE7"/>
    <w:rsid w:val="00AE42AF"/>
    <w:rsid w:val="00AE4AC3"/>
    <w:rsid w:val="00AE4D20"/>
    <w:rsid w:val="00B143E9"/>
    <w:rsid w:val="00B15F15"/>
    <w:rsid w:val="00B37383"/>
    <w:rsid w:val="00B41CDE"/>
    <w:rsid w:val="00B559D1"/>
    <w:rsid w:val="00B576FF"/>
    <w:rsid w:val="00B7351D"/>
    <w:rsid w:val="00B7390C"/>
    <w:rsid w:val="00B944EF"/>
    <w:rsid w:val="00BA1F65"/>
    <w:rsid w:val="00BB08DE"/>
    <w:rsid w:val="00BB48B0"/>
    <w:rsid w:val="00BB4ED9"/>
    <w:rsid w:val="00BC0A02"/>
    <w:rsid w:val="00BE478C"/>
    <w:rsid w:val="00BF2245"/>
    <w:rsid w:val="00C054EA"/>
    <w:rsid w:val="00C127B9"/>
    <w:rsid w:val="00C24245"/>
    <w:rsid w:val="00C34965"/>
    <w:rsid w:val="00C43958"/>
    <w:rsid w:val="00C574E2"/>
    <w:rsid w:val="00C600F2"/>
    <w:rsid w:val="00C91F15"/>
    <w:rsid w:val="00C933EA"/>
    <w:rsid w:val="00CB4780"/>
    <w:rsid w:val="00CC0855"/>
    <w:rsid w:val="00CC37F4"/>
    <w:rsid w:val="00CE4D97"/>
    <w:rsid w:val="00CF4DCC"/>
    <w:rsid w:val="00D00F80"/>
    <w:rsid w:val="00D23ECE"/>
    <w:rsid w:val="00D24AB3"/>
    <w:rsid w:val="00D327E3"/>
    <w:rsid w:val="00D53C5C"/>
    <w:rsid w:val="00D8143F"/>
    <w:rsid w:val="00D93786"/>
    <w:rsid w:val="00DA1CD2"/>
    <w:rsid w:val="00DA3A73"/>
    <w:rsid w:val="00DB790C"/>
    <w:rsid w:val="00DC3FAB"/>
    <w:rsid w:val="00DC4C67"/>
    <w:rsid w:val="00DE102E"/>
    <w:rsid w:val="00E046C9"/>
    <w:rsid w:val="00E047E5"/>
    <w:rsid w:val="00E10B9B"/>
    <w:rsid w:val="00E2032C"/>
    <w:rsid w:val="00E20EFB"/>
    <w:rsid w:val="00E31C75"/>
    <w:rsid w:val="00E41C18"/>
    <w:rsid w:val="00E562CF"/>
    <w:rsid w:val="00E822FE"/>
    <w:rsid w:val="00EA5A0C"/>
    <w:rsid w:val="00EB367C"/>
    <w:rsid w:val="00EC33FB"/>
    <w:rsid w:val="00F34766"/>
    <w:rsid w:val="00F4704F"/>
    <w:rsid w:val="00F70E89"/>
    <w:rsid w:val="00F90FB9"/>
    <w:rsid w:val="00F96539"/>
    <w:rsid w:val="00FA49C9"/>
    <w:rsid w:val="00FA62DE"/>
    <w:rsid w:val="00FA7519"/>
    <w:rsid w:val="00FB30DD"/>
    <w:rsid w:val="00FC2A07"/>
    <w:rsid w:val="00FD75CD"/>
    <w:rsid w:val="00FE5748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FB2E"/>
  <w15:chartTrackingRefBased/>
  <w15:docId w15:val="{E63C15F5-3701-4FA4-B2C6-34D345F1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D7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4A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90C"/>
    <w:rPr>
      <w:rFonts w:ascii="Segoe UI" w:hAnsi="Segoe UI" w:cs="Segoe UI"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56460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E4AC3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2D73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5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7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E8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7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E89"/>
    <w:rPr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550C2"/>
    <w:rPr>
      <w:color w:val="954F72" w:themeColor="followedHyperlink"/>
      <w:u w:val="single"/>
    </w:rPr>
  </w:style>
  <w:style w:type="character" w:customStyle="1" w:styleId="text">
    <w:name w:val="text"/>
    <w:basedOn w:val="Absatz-Standardschriftart"/>
    <w:rsid w:val="00F4704F"/>
  </w:style>
  <w:style w:type="character" w:styleId="NichtaufgelsteErwhnung">
    <w:name w:val="Unresolved Mention"/>
    <w:basedOn w:val="Absatz-Standardschriftart"/>
    <w:uiPriority w:val="99"/>
    <w:semiHidden/>
    <w:unhideWhenUsed/>
    <w:rsid w:val="0066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790/verw.55.4.497" TargetMode="External"/><Relationship Id="rId18" Type="http://schemas.openxmlformats.org/officeDocument/2006/relationships/hyperlink" Target="https://elibrary.duncker-humblot.com/zeitschriften/id/20/vol/53/iss/1574/art/6607/" TargetMode="External"/><Relationship Id="rId26" Type="http://schemas.openxmlformats.org/officeDocument/2006/relationships/hyperlink" Target="https://www.faz.net/podcasts/f-a-z-einspruch-podcast/f-a-z-einspruch-was-kommt-nach-der-zeitenwende-17939869.html" TargetMode="External"/><Relationship Id="rId39" Type="http://schemas.openxmlformats.org/officeDocument/2006/relationships/hyperlink" Target="https://doi.org/10.17176/20180412-220258" TargetMode="External"/><Relationship Id="rId21" Type="http://schemas.openxmlformats.org/officeDocument/2006/relationships/hyperlink" Target="https://www.rewi.hu-berlin.de/de/lf/ls/ksr/staff/il/parlamentarisierung.pdf" TargetMode="External"/><Relationship Id="rId34" Type="http://schemas.openxmlformats.org/officeDocument/2006/relationships/hyperlink" Target="https://verfassungsblog.de/keine-waffenlieferungen-in-krisengebiete/" TargetMode="External"/><Relationship Id="rId42" Type="http://schemas.openxmlformats.org/officeDocument/2006/relationships/hyperlink" Target="https://doi.org/10.1017/S2071832200005587" TargetMode="External"/><Relationship Id="rId7" Type="http://schemas.openxmlformats.org/officeDocument/2006/relationships/hyperlink" Target="https://www.nomos-elibrary.de/10.5771/9783845266084/the-freedom-of-peaceful-assembly-in-euro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628/aoer-2021-0012" TargetMode="External"/><Relationship Id="rId29" Type="http://schemas.openxmlformats.org/officeDocument/2006/relationships/hyperlink" Target="https://verfassungsblog.de/das-ende-der-zuruckhaltu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oerv.de/75_2015/75_2015_4_s_925_948.pdf" TargetMode="External"/><Relationship Id="rId24" Type="http://schemas.openxmlformats.org/officeDocument/2006/relationships/hyperlink" Target="https://www.rewi.hu-berlin.de/de/lf/ls/ksr/staff/il/ley_kant-versus-locke_zaoerv.pdf" TargetMode="External"/><Relationship Id="rId32" Type="http://schemas.openxmlformats.org/officeDocument/2006/relationships/hyperlink" Target="https://www.n-tv.de/politik/Die-Nazis-wurden-nicht-von-Pazifisten-besiegt-article23173984.html" TargetMode="External"/><Relationship Id="rId37" Type="http://schemas.openxmlformats.org/officeDocument/2006/relationships/hyperlink" Target="https://doi.org/10.17176/20200224-105138-0" TargetMode="External"/><Relationship Id="rId40" Type="http://schemas.openxmlformats.org/officeDocument/2006/relationships/hyperlink" Target="https://doi.org/10.1093/ejil/chr09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628/aoer-2021-0012" TargetMode="External"/><Relationship Id="rId23" Type="http://schemas.openxmlformats.org/officeDocument/2006/relationships/hyperlink" Target="https://www.rewi.hu-berlin.de/de/lf/ls/ksr/staff/il/ley_kant-versus-locke_zaoerv.pdf" TargetMode="External"/><Relationship Id="rId28" Type="http://schemas.openxmlformats.org/officeDocument/2006/relationships/hyperlink" Target="https://dx.doi.org/10.17176/20220403-011126-0" TargetMode="External"/><Relationship Id="rId36" Type="http://schemas.openxmlformats.org/officeDocument/2006/relationships/hyperlink" Target="https://verfassungsblog.de/das-volk-ein-problem-der-demokratie/" TargetMode="External"/><Relationship Id="rId10" Type="http://schemas.openxmlformats.org/officeDocument/2006/relationships/hyperlink" Target="https://academic.oup.com/ejil/article/26/3/774/2599594" TargetMode="External"/><Relationship Id="rId19" Type="http://schemas.openxmlformats.org/officeDocument/2006/relationships/hyperlink" Target="https://www.rewi.hu-berlin.de/de/lf/ls/ksr/staff/il/politisierung.pdf" TargetMode="External"/><Relationship Id="rId31" Type="http://schemas.openxmlformats.org/officeDocument/2006/relationships/hyperlink" Target="https://dx.doi.org/10.17176/20220319-001309-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book/10.1007/978-3-662-44452-8" TargetMode="External"/><Relationship Id="rId14" Type="http://schemas.openxmlformats.org/officeDocument/2006/relationships/hyperlink" Target="https://doi.org/10.25162/arsp-2021-0025" TargetMode="External"/><Relationship Id="rId22" Type="http://schemas.openxmlformats.org/officeDocument/2006/relationships/hyperlink" Target="https://www.rewi.hu-berlin.de/de/lf/ls/ksr/staff/il/parlamentarisierung.pdf" TargetMode="External"/><Relationship Id="rId27" Type="http://schemas.openxmlformats.org/officeDocument/2006/relationships/hyperlink" Target="https://verfassungsblog.de/the-end-of-germanys-strategic-restraint/" TargetMode="External"/><Relationship Id="rId30" Type="http://schemas.openxmlformats.org/officeDocument/2006/relationships/hyperlink" Target="https://dx.doi.org/10.17176/20220319-001302-0" TargetMode="External"/><Relationship Id="rId35" Type="http://schemas.openxmlformats.org/officeDocument/2006/relationships/hyperlink" Target="https://dx.doi.org/10.17176/20220121-163159-0" TargetMode="External"/><Relationship Id="rId43" Type="http://schemas.openxmlformats.org/officeDocument/2006/relationships/footer" Target="footer1.xml"/><Relationship Id="rId8" Type="http://schemas.openxmlformats.org/officeDocument/2006/relationships/hyperlink" Target="https://doi.org/10.5771/97838452660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oerv.de/75_2015/75_2015_4_s_925_948.pdf" TargetMode="External"/><Relationship Id="rId17" Type="http://schemas.openxmlformats.org/officeDocument/2006/relationships/hyperlink" Target="https://www.cambridge.org/core/journals/leiden-journal-of-international-law/article/abs/opposition-in-international-law-alternativity-and-revisibility-as-elements-of-a-legitimacy-concept-for-public-international-law/CE27D979C9C0D83EBB1D0E0CC5C4C72D" TargetMode="External"/><Relationship Id="rId25" Type="http://schemas.openxmlformats.org/officeDocument/2006/relationships/hyperlink" Target="https://www.faz.net/aktuell/politik/staat-und-recht/die-orte-des-glaubens-neu-bestimmen-18432063.html?premium" TargetMode="External"/><Relationship Id="rId33" Type="http://schemas.openxmlformats.org/officeDocument/2006/relationships/hyperlink" Target="https://www.welt.de/debatte/kommentare/plus236448757/Ukraine-Krise-Deutschlands-Waffenexport-Haltung-ist-inkonsequent.html" TargetMode="External"/><Relationship Id="rId38" Type="http://schemas.openxmlformats.org/officeDocument/2006/relationships/hyperlink" Target="https://verfassungsblog.de/category/debates/das-volk-ein-problem-der-demokratie/" TargetMode="External"/><Relationship Id="rId20" Type="http://schemas.openxmlformats.org/officeDocument/2006/relationships/hyperlink" Target="https://www.rewi.hu-berlin.de/de/lf/ls/ksr/staff/il/politisierung.pdf" TargetMode="External"/><Relationship Id="rId41" Type="http://schemas.openxmlformats.org/officeDocument/2006/relationships/hyperlink" Target="https://doi.org/10.1017/S2071832200020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Ley</dc:creator>
  <cp:keywords/>
  <dc:description/>
  <cp:lastModifiedBy>Isabelle Ley</cp:lastModifiedBy>
  <cp:revision>13</cp:revision>
  <cp:lastPrinted>2021-10-28T08:29:00Z</cp:lastPrinted>
  <dcterms:created xsi:type="dcterms:W3CDTF">2022-11-09T07:27:00Z</dcterms:created>
  <dcterms:modified xsi:type="dcterms:W3CDTF">2023-07-24T07:42:00Z</dcterms:modified>
</cp:coreProperties>
</file>