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BFC7" w14:textId="77777777" w:rsidR="00E93B29" w:rsidRDefault="00E93B29" w:rsidP="00E93B29">
      <w:pPr>
        <w:widowControl w:val="0"/>
        <w:autoSpaceDE w:val="0"/>
        <w:autoSpaceDN w:val="0"/>
        <w:adjustRightInd w:val="0"/>
        <w:spacing w:after="240" w:line="360" w:lineRule="auto"/>
        <w:jc w:val="center"/>
        <w:rPr>
          <w:rFonts w:ascii="Times New Roman" w:hAnsi="Times New Roman" w:cs="Times New Roman"/>
          <w:b/>
          <w:bCs/>
          <w:szCs w:val="28"/>
        </w:rPr>
      </w:pPr>
      <w:r>
        <w:rPr>
          <w:rFonts w:ascii="Garamond" w:hAnsi="Garamond"/>
          <w:lang w:val="en-GB"/>
        </w:rPr>
        <w:tab/>
      </w:r>
      <w:r w:rsidRPr="001B62F3">
        <w:rPr>
          <w:rFonts w:ascii="Times New Roman" w:hAnsi="Times New Roman" w:cs="Times New Roman"/>
          <w:b/>
          <w:bCs/>
          <w:noProof/>
          <w:szCs w:val="28"/>
          <w:lang w:bidi="he-IL"/>
        </w:rPr>
        <w:drawing>
          <wp:inline distT="0" distB="0" distL="0" distR="0" wp14:anchorId="3A1290AF" wp14:editId="75456D00">
            <wp:extent cx="2342452" cy="48323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L_logo_de_schwa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900" cy="488072"/>
                    </a:xfrm>
                    <a:prstGeom prst="rect">
                      <a:avLst/>
                    </a:prstGeom>
                  </pic:spPr>
                </pic:pic>
              </a:graphicData>
            </a:graphic>
          </wp:inline>
        </w:drawing>
      </w:r>
      <w:r>
        <w:rPr>
          <w:rFonts w:ascii="Times New Roman" w:hAnsi="Times New Roman" w:cs="Times New Roman"/>
          <w:b/>
          <w:bCs/>
          <w:szCs w:val="28"/>
        </w:rPr>
        <w:t xml:space="preserve">                 </w:t>
      </w:r>
      <w:r w:rsidRPr="001B62F3">
        <w:rPr>
          <w:rFonts w:ascii="Times New Roman" w:hAnsi="Times New Roman" w:cs="Times New Roman"/>
          <w:b/>
          <w:bCs/>
          <w:noProof/>
          <w:szCs w:val="28"/>
          <w:lang w:bidi="he-IL"/>
        </w:rPr>
        <w:drawing>
          <wp:inline distT="0" distB="0" distL="0" distR="0" wp14:anchorId="03739AA1" wp14:editId="04FFCF42">
            <wp:extent cx="1960245" cy="516779"/>
            <wp:effectExtent l="0" t="0" r="0" b="0"/>
            <wp:docPr id="1" name="Image 1" descr="C:\Users\Lau\AppData\Local\Temp\HeiParisMax-Logo_DE_NE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AppData\Local\Temp\HeiParisMax-Logo_DE_NEU.jpeg"/>
                    <pic:cNvPicPr>
                      <a:picLocks noChangeAspect="1" noChangeArrowheads="1"/>
                    </pic:cNvPicPr>
                  </pic:nvPicPr>
                  <pic:blipFill>
                    <a:blip r:embed="rId8" cstate="print"/>
                    <a:srcRect/>
                    <a:stretch>
                      <a:fillRect/>
                    </a:stretch>
                  </pic:blipFill>
                  <pic:spPr bwMode="auto">
                    <a:xfrm>
                      <a:off x="0" y="0"/>
                      <a:ext cx="1999381" cy="527096"/>
                    </a:xfrm>
                    <a:prstGeom prst="rect">
                      <a:avLst/>
                    </a:prstGeom>
                    <a:noFill/>
                    <a:ln w="9525">
                      <a:noFill/>
                      <a:miter lim="800000"/>
                      <a:headEnd/>
                      <a:tailEnd/>
                    </a:ln>
                  </pic:spPr>
                </pic:pic>
              </a:graphicData>
            </a:graphic>
          </wp:inline>
        </w:drawing>
      </w:r>
    </w:p>
    <w:p w14:paraId="18F622B1" w14:textId="77777777" w:rsidR="00AD1569" w:rsidRPr="00E93B29" w:rsidRDefault="00E93B29" w:rsidP="00E93B29">
      <w:pPr>
        <w:widowControl w:val="0"/>
        <w:autoSpaceDE w:val="0"/>
        <w:autoSpaceDN w:val="0"/>
        <w:adjustRightInd w:val="0"/>
        <w:spacing w:after="240" w:line="360" w:lineRule="auto"/>
        <w:jc w:val="center"/>
        <w:rPr>
          <w:rFonts w:ascii="Times New Roman" w:hAnsi="Times New Roman" w:cs="Times New Roman"/>
          <w:b/>
          <w:bCs/>
          <w:szCs w:val="28"/>
        </w:rPr>
      </w:pPr>
      <w:r w:rsidRPr="001B62F3">
        <w:rPr>
          <w:rFonts w:ascii="Times New Roman" w:hAnsi="Times New Roman" w:cs="Times New Roman"/>
          <w:b/>
          <w:bCs/>
          <w:noProof/>
          <w:szCs w:val="28"/>
          <w:lang w:bidi="he-IL"/>
        </w:rPr>
        <w:drawing>
          <wp:inline distT="0" distB="0" distL="0" distR="0" wp14:anchorId="171A6623" wp14:editId="6ACCFBB1">
            <wp:extent cx="1923313" cy="864610"/>
            <wp:effectExtent l="0" t="0" r="7620" b="0"/>
            <wp:docPr id="3" name="Image 1" descr="C:\Users\Lau\AppData\Local\Temp\logo_coul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AppData\Local\Temp\logo_coul_fr.png"/>
                    <pic:cNvPicPr>
                      <a:picLocks noChangeAspect="1" noChangeArrowheads="1"/>
                    </pic:cNvPicPr>
                  </pic:nvPicPr>
                  <pic:blipFill>
                    <a:blip r:embed="rId9" cstate="print"/>
                    <a:srcRect/>
                    <a:stretch>
                      <a:fillRect/>
                    </a:stretch>
                  </pic:blipFill>
                  <pic:spPr bwMode="auto">
                    <a:xfrm>
                      <a:off x="0" y="0"/>
                      <a:ext cx="1930668" cy="867916"/>
                    </a:xfrm>
                    <a:prstGeom prst="rect">
                      <a:avLst/>
                    </a:prstGeom>
                    <a:noFill/>
                    <a:ln w="9525">
                      <a:noFill/>
                      <a:miter lim="800000"/>
                      <a:headEnd/>
                      <a:tailEnd/>
                    </a:ln>
                  </pic:spPr>
                </pic:pic>
              </a:graphicData>
            </a:graphic>
          </wp:inline>
        </w:drawing>
      </w:r>
      <w:r w:rsidRPr="001B62F3">
        <w:rPr>
          <w:rFonts w:ascii="Times New Roman" w:hAnsi="Times New Roman" w:cs="Times New Roman"/>
          <w:b/>
          <w:bCs/>
          <w:noProof/>
          <w:szCs w:val="28"/>
          <w:lang w:bidi="he-IL"/>
        </w:rPr>
        <w:drawing>
          <wp:inline distT="0" distB="0" distL="0" distR="0" wp14:anchorId="54E0B13B" wp14:editId="4AFC0F0E">
            <wp:extent cx="2291962" cy="796252"/>
            <wp:effectExtent l="0" t="0" r="0" b="0"/>
            <wp:docPr id="7" name="Image 2" descr="C:\Users\Lau\AppData\Local\Temp\Bildschirmfoto 2016-03-03 um 14.3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AppData\Local\Temp\Bildschirmfoto 2016-03-03 um 14.35.55.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Lst>
                    </a:blip>
                    <a:srcRect/>
                    <a:stretch>
                      <a:fillRect/>
                    </a:stretch>
                  </pic:blipFill>
                  <pic:spPr bwMode="auto">
                    <a:xfrm>
                      <a:off x="0" y="0"/>
                      <a:ext cx="2366774" cy="822242"/>
                    </a:xfrm>
                    <a:prstGeom prst="rect">
                      <a:avLst/>
                    </a:prstGeom>
                    <a:noFill/>
                    <a:ln w="9525">
                      <a:noFill/>
                      <a:miter lim="800000"/>
                      <a:headEnd/>
                      <a:tailEnd/>
                    </a:ln>
                  </pic:spPr>
                </pic:pic>
              </a:graphicData>
            </a:graphic>
          </wp:inline>
        </w:drawing>
      </w:r>
      <w:r w:rsidRPr="000C2DB2">
        <w:rPr>
          <w:rFonts w:ascii="Times New Roman" w:hAnsi="Times New Roman" w:cs="Times New Roman"/>
          <w:b/>
          <w:bCs/>
          <w:noProof/>
          <w:szCs w:val="28"/>
          <w:lang w:bidi="he-IL"/>
        </w:rPr>
        <w:drawing>
          <wp:inline distT="0" distB="0" distL="0" distR="0" wp14:anchorId="42DA7822" wp14:editId="523F8758">
            <wp:extent cx="1418834" cy="688241"/>
            <wp:effectExtent l="0" t="0" r="3810" b="0"/>
            <wp:docPr id="6" name="Image 2" descr="C:\Users\Lau\Downloads\1.CIERA_Logo_1ligne_greengrafik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Downloads\1.CIERA_Logo_1ligne_greengrafik2013.tif"/>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Lst>
                    </a:blip>
                    <a:srcRect/>
                    <a:stretch>
                      <a:fillRect/>
                    </a:stretch>
                  </pic:blipFill>
                  <pic:spPr bwMode="auto">
                    <a:xfrm>
                      <a:off x="0" y="0"/>
                      <a:ext cx="1487842" cy="721715"/>
                    </a:xfrm>
                    <a:prstGeom prst="rect">
                      <a:avLst/>
                    </a:prstGeom>
                    <a:noFill/>
                    <a:ln w="9525">
                      <a:noFill/>
                      <a:miter lim="800000"/>
                      <a:headEnd/>
                      <a:tailEnd/>
                    </a:ln>
                  </pic:spPr>
                </pic:pic>
              </a:graphicData>
            </a:graphic>
          </wp:inline>
        </w:drawing>
      </w:r>
    </w:p>
    <w:p w14:paraId="359D9B45" w14:textId="05A2723A" w:rsidR="00E93B29" w:rsidRPr="00E93B29" w:rsidRDefault="00E93B29" w:rsidP="00E93B29">
      <w:pPr>
        <w:widowControl w:val="0"/>
        <w:autoSpaceDE w:val="0"/>
        <w:autoSpaceDN w:val="0"/>
        <w:adjustRightInd w:val="0"/>
        <w:spacing w:after="240" w:line="440" w:lineRule="atLeast"/>
        <w:jc w:val="center"/>
        <w:rPr>
          <w:rFonts w:ascii="Garamond" w:hAnsi="Garamond" w:cs="Times"/>
        </w:rPr>
      </w:pPr>
      <w:r w:rsidRPr="00E93B29">
        <w:rPr>
          <w:rFonts w:ascii="Garamond" w:hAnsi="Garamond" w:cs="Times"/>
          <w:b/>
          <w:bCs/>
        </w:rPr>
        <w:t>Digital surve</w:t>
      </w:r>
      <w:r w:rsidR="00116989">
        <w:rPr>
          <w:rFonts w:ascii="Garamond" w:hAnsi="Garamond" w:cs="Times"/>
          <w:b/>
          <w:bCs/>
        </w:rPr>
        <w:t>illance and cyber spying: French</w:t>
      </w:r>
      <w:r w:rsidR="0037203C">
        <w:rPr>
          <w:rFonts w:ascii="Garamond" w:hAnsi="Garamond" w:cs="Times"/>
          <w:b/>
          <w:bCs/>
        </w:rPr>
        <w:t xml:space="preserve"> </w:t>
      </w:r>
      <w:r w:rsidR="00116989">
        <w:rPr>
          <w:rFonts w:ascii="Garamond" w:hAnsi="Garamond" w:cs="Times"/>
          <w:b/>
          <w:bCs/>
        </w:rPr>
        <w:t>and</w:t>
      </w:r>
      <w:r w:rsidRPr="00E93B29">
        <w:rPr>
          <w:rFonts w:ascii="Garamond" w:hAnsi="Garamond" w:cs="Times"/>
          <w:b/>
          <w:bCs/>
        </w:rPr>
        <w:t xml:space="preserve"> German perspective</w:t>
      </w:r>
      <w:r w:rsidR="00116989">
        <w:rPr>
          <w:rFonts w:ascii="Garamond" w:hAnsi="Garamond" w:cs="Times"/>
          <w:b/>
          <w:bCs/>
        </w:rPr>
        <w:t>s</w:t>
      </w:r>
    </w:p>
    <w:p w14:paraId="7A5A7E07" w14:textId="77777777" w:rsidR="00E93B29" w:rsidRPr="00E93B29" w:rsidRDefault="00E93B29" w:rsidP="00E93B29">
      <w:pPr>
        <w:spacing w:line="360" w:lineRule="auto"/>
        <w:jc w:val="center"/>
        <w:rPr>
          <w:rFonts w:ascii="Garamond" w:hAnsi="Garamond"/>
          <w:i/>
        </w:rPr>
      </w:pPr>
      <w:proofErr w:type="spellStart"/>
      <w:r w:rsidRPr="00E93B29">
        <w:rPr>
          <w:rFonts w:ascii="Garamond" w:hAnsi="Garamond"/>
          <w:i/>
        </w:rPr>
        <w:t>Maison</w:t>
      </w:r>
      <w:proofErr w:type="spellEnd"/>
      <w:r w:rsidRPr="00E93B29">
        <w:rPr>
          <w:rFonts w:ascii="Garamond" w:hAnsi="Garamond"/>
          <w:i/>
        </w:rPr>
        <w:t xml:space="preserve"> de la </w:t>
      </w:r>
      <w:proofErr w:type="spellStart"/>
      <w:r w:rsidRPr="00E93B29">
        <w:rPr>
          <w:rFonts w:ascii="Garamond" w:hAnsi="Garamond"/>
          <w:i/>
        </w:rPr>
        <w:t>recherche</w:t>
      </w:r>
      <w:proofErr w:type="spellEnd"/>
    </w:p>
    <w:p w14:paraId="7CA1DC2F" w14:textId="2CEB4776" w:rsidR="00E93B29" w:rsidRPr="00E93B29" w:rsidRDefault="004F2D42" w:rsidP="00E9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aramond" w:hAnsi="Garamond" w:cs="Courier"/>
          <w:i/>
          <w:szCs w:val="20"/>
          <w:lang w:eastAsia="fr-FR"/>
        </w:rPr>
      </w:pPr>
      <w:r>
        <w:rPr>
          <w:rFonts w:ascii="Garamond" w:hAnsi="Garamond" w:cs="Courier"/>
          <w:i/>
          <w:szCs w:val="20"/>
          <w:lang w:eastAsia="fr-FR"/>
        </w:rPr>
        <w:t xml:space="preserve">28 rue </w:t>
      </w:r>
      <w:proofErr w:type="spellStart"/>
      <w:r>
        <w:rPr>
          <w:rFonts w:ascii="Garamond" w:hAnsi="Garamond" w:cs="Courier"/>
          <w:i/>
          <w:szCs w:val="20"/>
          <w:lang w:eastAsia="fr-FR"/>
        </w:rPr>
        <w:t>S</w:t>
      </w:r>
      <w:r w:rsidR="00E93B29" w:rsidRPr="00E93B29">
        <w:rPr>
          <w:rFonts w:ascii="Garamond" w:hAnsi="Garamond" w:cs="Courier"/>
          <w:i/>
          <w:szCs w:val="20"/>
          <w:lang w:eastAsia="fr-FR"/>
        </w:rPr>
        <w:t>erpente</w:t>
      </w:r>
      <w:proofErr w:type="spellEnd"/>
      <w:r w:rsidR="00E93B29" w:rsidRPr="00E93B29">
        <w:rPr>
          <w:rFonts w:ascii="Garamond" w:hAnsi="Garamond" w:cs="Courier"/>
          <w:i/>
          <w:szCs w:val="20"/>
          <w:lang w:eastAsia="fr-FR"/>
        </w:rPr>
        <w:t xml:space="preserve"> 75006 Paris</w:t>
      </w:r>
    </w:p>
    <w:p w14:paraId="6888EAD6" w14:textId="77777777" w:rsidR="00AD1569" w:rsidRDefault="00E93B29" w:rsidP="00E93B29">
      <w:pPr>
        <w:spacing w:after="200" w:line="276" w:lineRule="auto"/>
        <w:jc w:val="center"/>
        <w:rPr>
          <w:rFonts w:ascii="Garamond" w:hAnsi="Garamond"/>
          <w:lang w:val="en-GB"/>
        </w:rPr>
      </w:pPr>
      <w:r w:rsidRPr="00E93B29">
        <w:rPr>
          <w:rFonts w:ascii="Garamond" w:hAnsi="Garamond"/>
          <w:i/>
          <w:lang w:val="en-GB"/>
        </w:rPr>
        <w:t>22</w:t>
      </w:r>
      <w:r w:rsidRPr="00E93B29">
        <w:rPr>
          <w:rFonts w:ascii="Garamond" w:hAnsi="Garamond"/>
          <w:i/>
          <w:vertAlign w:val="superscript"/>
          <w:lang w:val="en-GB"/>
        </w:rPr>
        <w:t>nd</w:t>
      </w:r>
      <w:r w:rsidRPr="00E93B29">
        <w:rPr>
          <w:rFonts w:ascii="Garamond" w:hAnsi="Garamond"/>
          <w:i/>
          <w:lang w:val="en-GB"/>
        </w:rPr>
        <w:t xml:space="preserve"> and 23</w:t>
      </w:r>
      <w:r w:rsidRPr="00E93B29">
        <w:rPr>
          <w:rFonts w:ascii="Garamond" w:hAnsi="Garamond"/>
          <w:i/>
          <w:vertAlign w:val="superscript"/>
          <w:lang w:val="en-GB"/>
        </w:rPr>
        <w:t>rd</w:t>
      </w:r>
      <w:r w:rsidRPr="00E93B29">
        <w:rPr>
          <w:rFonts w:ascii="Garamond" w:hAnsi="Garamond"/>
          <w:i/>
          <w:lang w:val="en-GB"/>
        </w:rPr>
        <w:t xml:space="preserve"> September 2016</w:t>
      </w:r>
    </w:p>
    <w:p w14:paraId="4404E1A7" w14:textId="77777777" w:rsidR="00116989" w:rsidRPr="00116989" w:rsidRDefault="00116989" w:rsidP="00E93B29">
      <w:pPr>
        <w:spacing w:after="200" w:line="276" w:lineRule="auto"/>
        <w:jc w:val="center"/>
        <w:rPr>
          <w:rFonts w:ascii="Garamond" w:hAnsi="Garamond"/>
          <w:lang w:val="en-GB"/>
        </w:rPr>
      </w:pPr>
    </w:p>
    <w:p w14:paraId="67A60601" w14:textId="7FD00F1C" w:rsidR="00F92B68" w:rsidRPr="006358C2" w:rsidRDefault="00E43EFF" w:rsidP="00DD6BFC">
      <w:pPr>
        <w:spacing w:after="200" w:line="276" w:lineRule="auto"/>
        <w:jc w:val="both"/>
        <w:rPr>
          <w:rFonts w:ascii="Garamond" w:hAnsi="Garamond"/>
          <w:lang w:val="en-GB"/>
        </w:rPr>
      </w:pPr>
      <w:r w:rsidRPr="006358C2">
        <w:rPr>
          <w:rFonts w:ascii="Garamond" w:hAnsi="Garamond"/>
          <w:lang w:val="en-GB"/>
        </w:rPr>
        <w:t xml:space="preserve">The colloquium dedicated to the topics of digital surveillance and cyberespionage from a “Franco-German perspective” will take place on </w:t>
      </w:r>
      <w:r w:rsidR="00E431B0">
        <w:rPr>
          <w:rFonts w:ascii="Garamond" w:hAnsi="Garamond"/>
          <w:lang w:val="en-GB"/>
        </w:rPr>
        <w:t xml:space="preserve">the </w:t>
      </w:r>
      <w:r w:rsidR="00E273E1" w:rsidRPr="00AD1569">
        <w:rPr>
          <w:rFonts w:ascii="Garamond" w:hAnsi="Garamond"/>
          <w:b/>
          <w:lang w:val="en-GB"/>
        </w:rPr>
        <w:t>22</w:t>
      </w:r>
      <w:r w:rsidR="00E431B0" w:rsidRPr="00AD1569">
        <w:rPr>
          <w:rFonts w:ascii="Garamond" w:hAnsi="Garamond"/>
          <w:b/>
          <w:vertAlign w:val="superscript"/>
          <w:lang w:val="en-GB"/>
        </w:rPr>
        <w:t>nd</w:t>
      </w:r>
      <w:r w:rsidR="00E273E1" w:rsidRPr="00AD1569">
        <w:rPr>
          <w:rFonts w:ascii="Garamond" w:hAnsi="Garamond"/>
          <w:b/>
          <w:lang w:val="en-GB"/>
        </w:rPr>
        <w:t xml:space="preserve"> and 23</w:t>
      </w:r>
      <w:r w:rsidR="00E431B0" w:rsidRPr="00AD1569">
        <w:rPr>
          <w:rFonts w:ascii="Garamond" w:hAnsi="Garamond"/>
          <w:b/>
          <w:vertAlign w:val="superscript"/>
          <w:lang w:val="en-GB"/>
        </w:rPr>
        <w:t>rd</w:t>
      </w:r>
      <w:r w:rsidR="00E273E1" w:rsidRPr="00AD1569">
        <w:rPr>
          <w:rFonts w:ascii="Garamond" w:hAnsi="Garamond"/>
          <w:b/>
          <w:lang w:val="en-GB"/>
        </w:rPr>
        <w:t xml:space="preserve"> </w:t>
      </w:r>
      <w:r w:rsidR="00E431B0" w:rsidRPr="00AD1569">
        <w:rPr>
          <w:rFonts w:ascii="Garamond" w:hAnsi="Garamond"/>
          <w:b/>
          <w:lang w:val="en-GB"/>
        </w:rPr>
        <w:t xml:space="preserve">of </w:t>
      </w:r>
      <w:r w:rsidR="00E273E1" w:rsidRPr="00AD1569">
        <w:rPr>
          <w:rFonts w:ascii="Garamond" w:hAnsi="Garamond"/>
          <w:b/>
          <w:lang w:val="en-GB"/>
        </w:rPr>
        <w:t>September</w:t>
      </w:r>
      <w:r w:rsidR="00E431B0" w:rsidRPr="00AD1569">
        <w:rPr>
          <w:rFonts w:ascii="Garamond" w:hAnsi="Garamond"/>
          <w:b/>
          <w:lang w:val="en-GB"/>
        </w:rPr>
        <w:t>,</w:t>
      </w:r>
      <w:r w:rsidR="00E273E1" w:rsidRPr="00AD1569">
        <w:rPr>
          <w:rFonts w:ascii="Garamond" w:hAnsi="Garamond"/>
          <w:b/>
          <w:lang w:val="en-GB"/>
        </w:rPr>
        <w:t xml:space="preserve"> 2016</w:t>
      </w:r>
      <w:r w:rsidR="00E273E1" w:rsidRPr="006358C2">
        <w:rPr>
          <w:rFonts w:ascii="Garamond" w:hAnsi="Garamond"/>
          <w:lang w:val="en-GB"/>
        </w:rPr>
        <w:t xml:space="preserve"> in </w:t>
      </w:r>
      <w:hyperlink r:id="rId14" w:history="1">
        <w:r w:rsidR="00E273E1" w:rsidRPr="00AD1569">
          <w:rPr>
            <w:rStyle w:val="Hyperlink"/>
            <w:rFonts w:ascii="Garamond" w:hAnsi="Garamond"/>
            <w:b/>
            <w:lang w:val="en-GB"/>
          </w:rPr>
          <w:t>Paris</w:t>
        </w:r>
      </w:hyperlink>
      <w:r w:rsidR="00E273E1" w:rsidRPr="006358C2">
        <w:rPr>
          <w:rFonts w:ascii="Garamond" w:hAnsi="Garamond"/>
          <w:lang w:val="en-GB"/>
        </w:rPr>
        <w:t xml:space="preserve">. </w:t>
      </w:r>
      <w:r w:rsidR="00E24F11" w:rsidRPr="006358C2">
        <w:rPr>
          <w:rFonts w:ascii="Garamond" w:hAnsi="Garamond"/>
          <w:lang w:val="en-GB"/>
        </w:rPr>
        <w:t xml:space="preserve">This colloquium is organised within the framework of the </w:t>
      </w:r>
      <w:hyperlink r:id="rId15" w:history="1">
        <w:r w:rsidR="00F92B68" w:rsidRPr="006358C2">
          <w:rPr>
            <w:rStyle w:val="Hyperlink"/>
            <w:rFonts w:ascii="Garamond" w:eastAsia="Times New Roman" w:hAnsi="Garamond" w:cs="Times New Roman"/>
            <w:lang w:val="fr-FR"/>
          </w:rPr>
          <w:t>HeiParisMax</w:t>
        </w:r>
      </w:hyperlink>
      <w:r w:rsidR="00E24F11" w:rsidRPr="006358C2">
        <w:rPr>
          <w:rFonts w:ascii="Garamond" w:hAnsi="Garamond"/>
          <w:lang w:val="en-GB"/>
        </w:rPr>
        <w:t xml:space="preserve"> partnership (between </w:t>
      </w:r>
      <w:hyperlink r:id="rId16" w:history="1">
        <w:r w:rsidR="00E24F11" w:rsidRPr="00344624">
          <w:rPr>
            <w:rStyle w:val="Hyperlink"/>
            <w:rFonts w:ascii="Garamond" w:hAnsi="Garamond"/>
            <w:lang w:val="en-GB"/>
          </w:rPr>
          <w:t>Sciences Po</w:t>
        </w:r>
      </w:hyperlink>
      <w:r w:rsidR="00E24F11" w:rsidRPr="006358C2">
        <w:rPr>
          <w:rFonts w:ascii="Garamond" w:hAnsi="Garamond"/>
          <w:lang w:val="en-GB"/>
        </w:rPr>
        <w:t xml:space="preserve">, </w:t>
      </w:r>
      <w:hyperlink r:id="rId17" w:history="1">
        <w:r w:rsidR="00E24F11" w:rsidRPr="00344624">
          <w:rPr>
            <w:rStyle w:val="Hyperlink"/>
            <w:rFonts w:ascii="Garamond" w:hAnsi="Garamond"/>
            <w:lang w:val="en-GB"/>
          </w:rPr>
          <w:t>Paris 1 Pantheon-Sorbonne University</w:t>
        </w:r>
      </w:hyperlink>
      <w:r w:rsidR="00E24F11" w:rsidRPr="006358C2">
        <w:rPr>
          <w:rFonts w:ascii="Garamond" w:hAnsi="Garamond"/>
          <w:lang w:val="en-GB"/>
        </w:rPr>
        <w:t xml:space="preserve">, </w:t>
      </w:r>
      <w:hyperlink r:id="rId18" w:history="1">
        <w:r w:rsidR="00E24F11" w:rsidRPr="00344624">
          <w:rPr>
            <w:rStyle w:val="Hyperlink"/>
            <w:rFonts w:ascii="Garamond" w:hAnsi="Garamond"/>
            <w:lang w:val="en-GB"/>
          </w:rPr>
          <w:t>Heidelberg University</w:t>
        </w:r>
      </w:hyperlink>
      <w:r w:rsidR="00E24F11" w:rsidRPr="006358C2">
        <w:rPr>
          <w:rFonts w:ascii="Garamond" w:hAnsi="Garamond"/>
          <w:lang w:val="en-GB"/>
        </w:rPr>
        <w:t xml:space="preserve"> and the </w:t>
      </w:r>
      <w:hyperlink r:id="rId19" w:history="1">
        <w:r w:rsidR="00E24F11" w:rsidRPr="00344624">
          <w:rPr>
            <w:rStyle w:val="Hyperlink"/>
            <w:rFonts w:ascii="Garamond" w:hAnsi="Garamond"/>
            <w:lang w:val="en-GB"/>
          </w:rPr>
          <w:t>Max Planck Institute for Comparative Public Law and International Law</w:t>
        </w:r>
      </w:hyperlink>
      <w:r w:rsidR="00E24F11" w:rsidRPr="006358C2">
        <w:rPr>
          <w:rFonts w:ascii="Garamond" w:hAnsi="Garamond"/>
          <w:lang w:val="en-GB"/>
        </w:rPr>
        <w:t xml:space="preserve">), and, together with the </w:t>
      </w:r>
      <w:hyperlink r:id="rId20" w:history="1">
        <w:r w:rsidR="00E24F11" w:rsidRPr="006358C2">
          <w:rPr>
            <w:rStyle w:val="Hyperlink"/>
            <w:rFonts w:ascii="Garamond" w:hAnsi="Garamond"/>
            <w:lang w:val="en-GB"/>
          </w:rPr>
          <w:t>CIERA</w:t>
        </w:r>
      </w:hyperlink>
      <w:r w:rsidR="00E24F11" w:rsidRPr="006358C2">
        <w:rPr>
          <w:rFonts w:ascii="Garamond" w:hAnsi="Garamond"/>
          <w:lang w:val="en-GB"/>
        </w:rPr>
        <w:t xml:space="preserve"> as well as the </w:t>
      </w:r>
      <w:hyperlink r:id="rId21" w:history="1">
        <w:r w:rsidR="00E24F11" w:rsidRPr="006358C2">
          <w:rPr>
            <w:rStyle w:val="Hyperlink"/>
            <w:rFonts w:ascii="Garamond" w:hAnsi="Garamond"/>
            <w:lang w:val="en-GB"/>
          </w:rPr>
          <w:t>Collège franco-allemand en droit public compare européen</w:t>
        </w:r>
      </w:hyperlink>
      <w:r w:rsidR="00E24F11" w:rsidRPr="006358C2">
        <w:rPr>
          <w:rFonts w:ascii="Garamond" w:hAnsi="Garamond"/>
          <w:lang w:val="en-GB"/>
        </w:rPr>
        <w:t xml:space="preserve">. Should you </w:t>
      </w:r>
      <w:r w:rsidR="00E431B0">
        <w:rPr>
          <w:rFonts w:ascii="Garamond" w:hAnsi="Garamond"/>
          <w:lang w:val="en-GB"/>
        </w:rPr>
        <w:t xml:space="preserve">be </w:t>
      </w:r>
      <w:r w:rsidR="00E24F11" w:rsidRPr="006358C2">
        <w:rPr>
          <w:rFonts w:ascii="Garamond" w:hAnsi="Garamond"/>
          <w:lang w:val="en-GB"/>
        </w:rPr>
        <w:t xml:space="preserve">interested </w:t>
      </w:r>
      <w:r w:rsidR="00E431B0">
        <w:rPr>
          <w:rFonts w:ascii="Garamond" w:hAnsi="Garamond"/>
          <w:lang w:val="en-GB"/>
        </w:rPr>
        <w:t xml:space="preserve">in </w:t>
      </w:r>
      <w:r w:rsidR="00E24F11" w:rsidRPr="006358C2">
        <w:rPr>
          <w:rFonts w:ascii="Garamond" w:hAnsi="Garamond"/>
          <w:lang w:val="en-GB"/>
        </w:rPr>
        <w:t>attend</w:t>
      </w:r>
      <w:r w:rsidR="00E431B0">
        <w:rPr>
          <w:rFonts w:ascii="Garamond" w:hAnsi="Garamond"/>
          <w:lang w:val="en-GB"/>
        </w:rPr>
        <w:t>ing</w:t>
      </w:r>
      <w:r w:rsidR="00E24F11" w:rsidRPr="006358C2">
        <w:rPr>
          <w:rFonts w:ascii="Garamond" w:hAnsi="Garamond"/>
          <w:lang w:val="en-GB"/>
        </w:rPr>
        <w:t xml:space="preserve"> this colloquium, please write</w:t>
      </w:r>
      <w:r w:rsidR="00E431B0">
        <w:rPr>
          <w:rFonts w:ascii="Garamond" w:hAnsi="Garamond"/>
          <w:lang w:val="en-GB"/>
        </w:rPr>
        <w:t xml:space="preserve"> a short message</w:t>
      </w:r>
      <w:r w:rsidR="00E24F11" w:rsidRPr="006358C2">
        <w:rPr>
          <w:rFonts w:ascii="Garamond" w:hAnsi="Garamond"/>
          <w:lang w:val="en-GB"/>
        </w:rPr>
        <w:t xml:space="preserve"> to the following email address: </w:t>
      </w:r>
      <w:hyperlink r:id="rId22" w:history="1">
        <w:r w:rsidR="00E24F11" w:rsidRPr="00AD1569">
          <w:rPr>
            <w:rStyle w:val="Hyperlink"/>
            <w:rFonts w:ascii="Garamond" w:hAnsi="Garamond"/>
            <w:b/>
            <w:lang w:val="en-GB"/>
          </w:rPr>
          <w:t>cyberdf@gmail.com</w:t>
        </w:r>
      </w:hyperlink>
      <w:r w:rsidR="00E24F11" w:rsidRPr="006358C2">
        <w:rPr>
          <w:rFonts w:ascii="Garamond" w:hAnsi="Garamond"/>
          <w:lang w:val="en-GB"/>
        </w:rPr>
        <w:t xml:space="preserve">. </w:t>
      </w:r>
      <w:r w:rsidR="006358C2">
        <w:rPr>
          <w:rFonts w:ascii="Garamond" w:hAnsi="Garamond"/>
          <w:lang w:val="en-GB"/>
        </w:rPr>
        <w:t xml:space="preserve">Please note that given the state of emergency enacted in France, it is required that any person attending a public event </w:t>
      </w:r>
      <w:r w:rsidR="003D3E0F">
        <w:rPr>
          <w:rFonts w:ascii="Garamond" w:hAnsi="Garamond"/>
          <w:lang w:val="en-GB"/>
        </w:rPr>
        <w:t>must</w:t>
      </w:r>
      <w:r w:rsidR="006358C2">
        <w:rPr>
          <w:rFonts w:ascii="Garamond" w:hAnsi="Garamond"/>
          <w:lang w:val="en-GB"/>
        </w:rPr>
        <w:t xml:space="preserve"> be pre-register</w:t>
      </w:r>
      <w:r w:rsidR="00E431B0">
        <w:rPr>
          <w:rFonts w:ascii="Garamond" w:hAnsi="Garamond"/>
          <w:lang w:val="en-GB"/>
        </w:rPr>
        <w:t>ed</w:t>
      </w:r>
      <w:r w:rsidR="006358C2">
        <w:rPr>
          <w:rFonts w:ascii="Garamond" w:hAnsi="Garamond"/>
          <w:lang w:val="en-GB"/>
        </w:rPr>
        <w:t xml:space="preserve"> on a list before the event takes place. </w:t>
      </w:r>
      <w:r w:rsidR="00E431B0">
        <w:rPr>
          <w:rFonts w:ascii="Garamond" w:hAnsi="Garamond"/>
          <w:lang w:val="en-GB"/>
        </w:rPr>
        <w:t>T</w:t>
      </w:r>
      <w:r w:rsidR="006358C2">
        <w:rPr>
          <w:rFonts w:ascii="Garamond" w:hAnsi="Garamond"/>
          <w:lang w:val="en-GB"/>
        </w:rPr>
        <w:t>herefore</w:t>
      </w:r>
      <w:r w:rsidR="00E431B0">
        <w:rPr>
          <w:rFonts w:ascii="Garamond" w:hAnsi="Garamond"/>
          <w:lang w:val="en-GB"/>
        </w:rPr>
        <w:t>, please</w:t>
      </w:r>
      <w:r w:rsidR="006358C2">
        <w:rPr>
          <w:rFonts w:ascii="Garamond" w:hAnsi="Garamond"/>
          <w:lang w:val="en-GB"/>
        </w:rPr>
        <w:t xml:space="preserve"> send us an email by </w:t>
      </w:r>
      <w:r w:rsidR="00867099">
        <w:rPr>
          <w:rFonts w:ascii="Garamond" w:hAnsi="Garamond"/>
          <w:b/>
          <w:lang w:val="en-GB"/>
        </w:rPr>
        <w:t>21</w:t>
      </w:r>
      <w:r w:rsidR="00DF06AF" w:rsidRPr="00DF06AF">
        <w:rPr>
          <w:rFonts w:ascii="Garamond" w:hAnsi="Garamond"/>
          <w:b/>
          <w:vertAlign w:val="superscript"/>
          <w:lang w:val="en-GB"/>
        </w:rPr>
        <w:t>st</w:t>
      </w:r>
      <w:r w:rsidR="006358C2" w:rsidRPr="00AD1569">
        <w:rPr>
          <w:rFonts w:ascii="Garamond" w:hAnsi="Garamond"/>
          <w:b/>
          <w:lang w:val="en-GB"/>
        </w:rPr>
        <w:t xml:space="preserve"> September 2016</w:t>
      </w:r>
      <w:r w:rsidR="006358C2">
        <w:rPr>
          <w:rFonts w:ascii="Garamond" w:hAnsi="Garamond"/>
          <w:lang w:val="en-GB"/>
        </w:rPr>
        <w:t xml:space="preserve"> </w:t>
      </w:r>
      <w:r w:rsidR="00E431B0">
        <w:rPr>
          <w:rFonts w:ascii="Garamond" w:hAnsi="Garamond"/>
          <w:lang w:val="en-GB"/>
        </w:rPr>
        <w:t>at the latest, if you wish</w:t>
      </w:r>
      <w:r w:rsidR="006358C2">
        <w:rPr>
          <w:rFonts w:ascii="Garamond" w:hAnsi="Garamond"/>
          <w:lang w:val="en-GB"/>
        </w:rPr>
        <w:t xml:space="preserve"> to attend. </w:t>
      </w:r>
    </w:p>
    <w:p w14:paraId="674154A3" w14:textId="77777777" w:rsidR="007A3009" w:rsidRPr="006358C2" w:rsidRDefault="00F92B68" w:rsidP="00DD6BFC">
      <w:pPr>
        <w:widowControl w:val="0"/>
        <w:autoSpaceDE w:val="0"/>
        <w:autoSpaceDN w:val="0"/>
        <w:adjustRightInd w:val="0"/>
        <w:spacing w:after="200" w:line="276" w:lineRule="auto"/>
        <w:jc w:val="both"/>
        <w:rPr>
          <w:rFonts w:ascii="Garamond" w:hAnsi="Garamond" w:cs="Times New Roman"/>
        </w:rPr>
      </w:pPr>
      <w:r w:rsidRPr="006358C2">
        <w:rPr>
          <w:rFonts w:ascii="Garamond" w:hAnsi="Garamond" w:cs="Times New Roman"/>
          <w:lang w:val="en-GB"/>
        </w:rPr>
        <w:t xml:space="preserve">This event </w:t>
      </w:r>
      <w:r w:rsidR="007A3009" w:rsidRPr="006358C2">
        <w:rPr>
          <w:rFonts w:ascii="Garamond" w:hAnsi="Garamond" w:cs="Times New Roman"/>
          <w:lang w:val="en-GB"/>
        </w:rPr>
        <w:t>is aimed</w:t>
      </w:r>
      <w:r w:rsidRPr="006358C2">
        <w:rPr>
          <w:rFonts w:ascii="Garamond" w:hAnsi="Garamond" w:cs="Times New Roman"/>
          <w:lang w:val="en-GB"/>
        </w:rPr>
        <w:t xml:space="preserve"> at young researchers</w:t>
      </w:r>
      <w:r w:rsidR="007A3009" w:rsidRPr="006358C2">
        <w:rPr>
          <w:rFonts w:ascii="Garamond" w:hAnsi="Garamond" w:cs="Times New Roman"/>
          <w:lang w:val="en-GB"/>
        </w:rPr>
        <w:t xml:space="preserve"> and prac</w:t>
      </w:r>
      <w:bookmarkStart w:id="0" w:name="_GoBack"/>
      <w:bookmarkEnd w:id="0"/>
      <w:r w:rsidR="007A3009" w:rsidRPr="006358C2">
        <w:rPr>
          <w:rFonts w:ascii="Garamond" w:hAnsi="Garamond" w:cs="Times New Roman"/>
          <w:lang w:val="en-GB"/>
        </w:rPr>
        <w:t>titioners</w:t>
      </w:r>
      <w:r w:rsidRPr="006358C2">
        <w:rPr>
          <w:rFonts w:ascii="Garamond" w:hAnsi="Garamond" w:cs="Times New Roman"/>
          <w:lang w:val="en-GB"/>
        </w:rPr>
        <w:t xml:space="preserve">, including </w:t>
      </w:r>
      <w:r w:rsidR="00E431B0">
        <w:rPr>
          <w:rFonts w:ascii="Garamond" w:hAnsi="Garamond" w:cs="Times New Roman"/>
          <w:lang w:val="en-GB"/>
        </w:rPr>
        <w:t xml:space="preserve">those </w:t>
      </w:r>
      <w:r w:rsidRPr="006358C2">
        <w:rPr>
          <w:rFonts w:ascii="Garamond" w:hAnsi="Garamond" w:cs="Times New Roman"/>
          <w:lang w:val="en-GB"/>
        </w:rPr>
        <w:t xml:space="preserve">with a legal background, </w:t>
      </w:r>
      <w:r w:rsidR="00E431B0">
        <w:rPr>
          <w:rFonts w:ascii="Garamond" w:hAnsi="Garamond" w:cs="Times New Roman"/>
          <w:lang w:val="en-GB"/>
        </w:rPr>
        <w:t xml:space="preserve">or </w:t>
      </w:r>
      <w:r w:rsidRPr="006358C2">
        <w:rPr>
          <w:rFonts w:ascii="Garamond" w:hAnsi="Garamond" w:cs="Times New Roman"/>
          <w:lang w:val="en-GB"/>
        </w:rPr>
        <w:t xml:space="preserve">working on digital surveillance and cyber espionage. </w:t>
      </w:r>
      <w:r w:rsidR="007A3009" w:rsidRPr="006358C2">
        <w:rPr>
          <w:rFonts w:ascii="Garamond" w:hAnsi="Garamond" w:cs="Times New Roman"/>
        </w:rPr>
        <w:t xml:space="preserve">Issues about digital surveillance and cyber espionage are not new, and have already been discussed extensively in literature, especially in recent years with respect to the fight against terrorism. Yet, this is a </w:t>
      </w:r>
      <w:r w:rsidR="00E431B0">
        <w:rPr>
          <w:rFonts w:ascii="Garamond" w:hAnsi="Garamond" w:cs="Times New Roman"/>
        </w:rPr>
        <w:t>rapid</w:t>
      </w:r>
      <w:r w:rsidR="007A3009" w:rsidRPr="006358C2">
        <w:rPr>
          <w:rFonts w:ascii="Garamond" w:hAnsi="Garamond" w:cs="Times New Roman"/>
        </w:rPr>
        <w:t>-evolving and dynamic field. Snowden’s leaks and the recent terrorist attacks in Paris and Brussels (among other recent terrorist attacks in Europe)</w:t>
      </w:r>
      <w:r w:rsidR="00E431B0">
        <w:rPr>
          <w:rFonts w:ascii="Garamond" w:hAnsi="Garamond" w:cs="Times New Roman"/>
        </w:rPr>
        <w:t>,</w:t>
      </w:r>
      <w:r w:rsidR="007A3009" w:rsidRPr="006358C2">
        <w:rPr>
          <w:rFonts w:ascii="Garamond" w:hAnsi="Garamond" w:cs="Times New Roman"/>
        </w:rPr>
        <w:t xml:space="preserve"> have given the subject added urgency and opened up dramatic new lines of inquiry. T</w:t>
      </w:r>
      <w:r w:rsidR="00E431B0">
        <w:rPr>
          <w:rFonts w:ascii="Garamond" w:hAnsi="Garamond" w:cs="Times New Roman"/>
        </w:rPr>
        <w:t>hus, t</w:t>
      </w:r>
      <w:r w:rsidR="007A3009" w:rsidRPr="006358C2">
        <w:rPr>
          <w:rFonts w:ascii="Garamond" w:hAnsi="Garamond" w:cs="Times New Roman"/>
        </w:rPr>
        <w:t xml:space="preserve">his colloquium will articulate some of the legal issues arising from this context by proposing </w:t>
      </w:r>
      <w:r w:rsidR="006358C2">
        <w:rPr>
          <w:rFonts w:ascii="Garamond" w:hAnsi="Garamond" w:cs="Times New Roman"/>
        </w:rPr>
        <w:t>the foll</w:t>
      </w:r>
      <w:r w:rsidR="00E431B0">
        <w:rPr>
          <w:rFonts w:ascii="Garamond" w:hAnsi="Garamond" w:cs="Times New Roman"/>
        </w:rPr>
        <w:t>o</w:t>
      </w:r>
      <w:r w:rsidR="006358C2">
        <w:rPr>
          <w:rFonts w:ascii="Garamond" w:hAnsi="Garamond" w:cs="Times New Roman"/>
        </w:rPr>
        <w:t>wing</w:t>
      </w:r>
      <w:r w:rsidR="007A3009" w:rsidRPr="006358C2">
        <w:rPr>
          <w:rFonts w:ascii="Garamond" w:hAnsi="Garamond" w:cs="Times New Roman"/>
        </w:rPr>
        <w:t xml:space="preserve"> axes.</w:t>
      </w:r>
    </w:p>
    <w:p w14:paraId="5058F038" w14:textId="77777777" w:rsidR="007A3009" w:rsidRPr="006358C2" w:rsidRDefault="007A3009" w:rsidP="00DD6BFC">
      <w:pPr>
        <w:widowControl w:val="0"/>
        <w:autoSpaceDE w:val="0"/>
        <w:autoSpaceDN w:val="0"/>
        <w:adjustRightInd w:val="0"/>
        <w:spacing w:after="200" w:line="276" w:lineRule="auto"/>
        <w:jc w:val="both"/>
        <w:rPr>
          <w:rFonts w:ascii="Garamond" w:hAnsi="Garamond" w:cs="Times New Roman"/>
          <w:i/>
        </w:rPr>
      </w:pPr>
      <w:r w:rsidRPr="006358C2">
        <w:rPr>
          <w:rFonts w:ascii="Garamond" w:hAnsi="Garamond" w:cs="Times New Roman"/>
          <w:i/>
        </w:rPr>
        <w:t>French and German legal frameworks applicable to intelligence agencies and law-enforcement authorities in light of international and European law</w:t>
      </w:r>
    </w:p>
    <w:p w14:paraId="7F04699C" w14:textId="77777777" w:rsidR="007A3009" w:rsidRPr="006358C2" w:rsidRDefault="007A3009" w:rsidP="00DD6BFC">
      <w:pPr>
        <w:widowControl w:val="0"/>
        <w:autoSpaceDE w:val="0"/>
        <w:autoSpaceDN w:val="0"/>
        <w:adjustRightInd w:val="0"/>
        <w:spacing w:after="200" w:line="276" w:lineRule="auto"/>
        <w:jc w:val="both"/>
        <w:rPr>
          <w:rFonts w:ascii="Garamond" w:hAnsi="Garamond" w:cs="Times New Roman"/>
        </w:rPr>
      </w:pPr>
      <w:r w:rsidRPr="006358C2">
        <w:rPr>
          <w:rFonts w:ascii="Garamond" w:hAnsi="Garamond" w:cs="Times New Roman"/>
        </w:rPr>
        <w:t xml:space="preserve">The first axis will focus on the opportunity to investigate the various legal elements originating from German, French, European and International Law applicable to digital surveillance practices. A special focus will be given to the conditions surrounding the authorization of digital surveillance practices from a two-fold perspective: one internal to States and the European legal </w:t>
      </w:r>
      <w:r w:rsidRPr="006358C2">
        <w:rPr>
          <w:rFonts w:ascii="Garamond" w:hAnsi="Garamond" w:cs="Times New Roman"/>
        </w:rPr>
        <w:lastRenderedPageBreak/>
        <w:t xml:space="preserve">order, and one external to them. </w:t>
      </w:r>
    </w:p>
    <w:p w14:paraId="67547AA2" w14:textId="77777777" w:rsidR="007A3009" w:rsidRPr="006358C2" w:rsidRDefault="007A3009" w:rsidP="00DD6BFC">
      <w:pPr>
        <w:widowControl w:val="0"/>
        <w:autoSpaceDE w:val="0"/>
        <w:autoSpaceDN w:val="0"/>
        <w:adjustRightInd w:val="0"/>
        <w:spacing w:after="200" w:line="276" w:lineRule="auto"/>
        <w:jc w:val="both"/>
        <w:rPr>
          <w:rFonts w:ascii="Garamond" w:hAnsi="Garamond" w:cs="Times New Roman"/>
          <w:i/>
        </w:rPr>
      </w:pPr>
      <w:r w:rsidRPr="006358C2">
        <w:rPr>
          <w:rFonts w:ascii="Garamond" w:hAnsi="Garamond" w:cs="Times New Roman"/>
          <w:i/>
        </w:rPr>
        <w:t>Control of digital surveillance activities and cyber espionage in Germany and in France</w:t>
      </w:r>
    </w:p>
    <w:p w14:paraId="2EF18786" w14:textId="77777777" w:rsidR="006358C2" w:rsidRPr="006358C2" w:rsidRDefault="006358C2" w:rsidP="00DD6BFC">
      <w:pPr>
        <w:widowControl w:val="0"/>
        <w:autoSpaceDE w:val="0"/>
        <w:autoSpaceDN w:val="0"/>
        <w:adjustRightInd w:val="0"/>
        <w:spacing w:after="200" w:line="276" w:lineRule="auto"/>
        <w:jc w:val="both"/>
        <w:rPr>
          <w:rFonts w:ascii="Garamond" w:hAnsi="Garamond" w:cs="Times New Roman"/>
          <w:szCs w:val="32"/>
        </w:rPr>
      </w:pPr>
      <w:r w:rsidRPr="006358C2">
        <w:rPr>
          <w:rFonts w:ascii="Garamond" w:hAnsi="Garamond" w:cs="Times New Roman"/>
          <w:szCs w:val="32"/>
        </w:rPr>
        <w:t>With respect to this second topic, the various concrete modes of control of these activities in Germany and in France could be discussed, whether already existing or envisaged, taking into account: the political and parliamentarian modes of control, the administrative and constitutional mechanisms for oversight, as well as judicial control. National, territorial and temporal criteria that exert an influence on these modes of control could also be treated.</w:t>
      </w:r>
    </w:p>
    <w:p w14:paraId="02E8DE06" w14:textId="77777777" w:rsidR="006358C2" w:rsidRPr="006358C2" w:rsidRDefault="006358C2" w:rsidP="00DD6BFC">
      <w:pPr>
        <w:widowControl w:val="0"/>
        <w:autoSpaceDE w:val="0"/>
        <w:autoSpaceDN w:val="0"/>
        <w:adjustRightInd w:val="0"/>
        <w:spacing w:after="200" w:line="276" w:lineRule="auto"/>
        <w:jc w:val="both"/>
        <w:rPr>
          <w:rFonts w:ascii="Garamond" w:hAnsi="Garamond" w:cs="Times"/>
          <w:i/>
          <w:sz w:val="21"/>
        </w:rPr>
      </w:pPr>
      <w:r w:rsidRPr="006358C2">
        <w:rPr>
          <w:rFonts w:ascii="Garamond" w:hAnsi="Garamond" w:cs="Times New Roman"/>
          <w:i/>
          <w:szCs w:val="32"/>
        </w:rPr>
        <w:t>The Franco-German and European cooperation in matters of intelligence and law-enforcement activities</w:t>
      </w:r>
    </w:p>
    <w:p w14:paraId="3A9A4474" w14:textId="77777777" w:rsidR="00F92B68" w:rsidRPr="006358C2" w:rsidRDefault="006358C2" w:rsidP="00DD6BFC">
      <w:pPr>
        <w:widowControl w:val="0"/>
        <w:autoSpaceDE w:val="0"/>
        <w:autoSpaceDN w:val="0"/>
        <w:adjustRightInd w:val="0"/>
        <w:spacing w:after="200" w:line="276" w:lineRule="auto"/>
        <w:jc w:val="both"/>
        <w:rPr>
          <w:rFonts w:ascii="Garamond" w:hAnsi="Garamond" w:cs="Times New Roman"/>
        </w:rPr>
      </w:pPr>
      <w:r w:rsidRPr="006358C2">
        <w:rPr>
          <w:rFonts w:ascii="Garamond" w:hAnsi="Garamond" w:cs="Times New Roman"/>
          <w:lang w:val="en-GB"/>
        </w:rPr>
        <w:t xml:space="preserve">A last </w:t>
      </w:r>
      <w:r w:rsidR="00B1326F">
        <w:rPr>
          <w:rFonts w:ascii="Garamond" w:hAnsi="Garamond" w:cs="Times New Roman"/>
          <w:lang w:val="en-GB"/>
        </w:rPr>
        <w:t>point</w:t>
      </w:r>
      <w:r w:rsidR="00B1326F" w:rsidRPr="006358C2">
        <w:rPr>
          <w:rFonts w:ascii="Garamond" w:hAnsi="Garamond" w:cs="Times New Roman"/>
          <w:lang w:val="en-GB"/>
        </w:rPr>
        <w:t xml:space="preserve"> </w:t>
      </w:r>
      <w:r w:rsidRPr="006358C2">
        <w:rPr>
          <w:rFonts w:ascii="Garamond" w:hAnsi="Garamond" w:cs="Times New Roman"/>
          <w:lang w:val="en-GB"/>
        </w:rPr>
        <w:t xml:space="preserve">will </w:t>
      </w:r>
      <w:r w:rsidR="00B1326F">
        <w:rPr>
          <w:rFonts w:ascii="Garamond" w:hAnsi="Garamond" w:cs="Times New Roman"/>
          <w:lang w:val="en-GB"/>
        </w:rPr>
        <w:t>be made one</w:t>
      </w:r>
      <w:r w:rsidR="00B1326F" w:rsidRPr="006358C2">
        <w:rPr>
          <w:rFonts w:ascii="Garamond" w:hAnsi="Garamond" w:cs="Times New Roman"/>
          <w:lang w:val="en-GB"/>
        </w:rPr>
        <w:t xml:space="preserve"> </w:t>
      </w:r>
      <w:r w:rsidRPr="006358C2">
        <w:rPr>
          <w:rFonts w:ascii="Garamond" w:hAnsi="Garamond" w:cs="Times New Roman"/>
          <w:lang w:val="en-GB"/>
        </w:rPr>
        <w:t>the existing European cooperation, in particular the role played by the “Franco-German couple”, in intelligence and law-enforcement matters. Indeed, t</w:t>
      </w:r>
      <w:r w:rsidRPr="006358C2">
        <w:rPr>
          <w:rFonts w:ascii="Garamond" w:hAnsi="Garamond" w:cs="Times New Roman"/>
        </w:rPr>
        <w:t xml:space="preserve">he digital sector is an important part of the Franco-German cooperation. It includes the development of a cooperative project for storing and processing data collected in Europe (“the European cloud” or “European Internet”); data protection, via the creation of a database and a monitoring system targeting potential terrorists; and regulation of illegal content on the Internet, such as the glorification of terrorism or incitement of hatred and violence against a community. </w:t>
      </w:r>
    </w:p>
    <w:sectPr w:rsidR="00F92B68" w:rsidRPr="006358C2" w:rsidSect="00EE1E81">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1234" w14:textId="77777777" w:rsidR="00DA1BD0" w:rsidRDefault="00DA1BD0" w:rsidP="00E93B29">
      <w:r>
        <w:separator/>
      </w:r>
    </w:p>
  </w:endnote>
  <w:endnote w:type="continuationSeparator" w:id="0">
    <w:p w14:paraId="22CDCCB8" w14:textId="77777777" w:rsidR="00DA1BD0" w:rsidRDefault="00DA1BD0" w:rsidP="00E9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1173" w14:textId="77777777" w:rsidR="004F2D42" w:rsidRDefault="004F2D42" w:rsidP="00206AE5">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3C77BE0" w14:textId="77777777" w:rsidR="004F2D42" w:rsidRDefault="004F2D42" w:rsidP="004F2D4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0EF3" w14:textId="77777777" w:rsidR="004F2D42" w:rsidRPr="004F2D42" w:rsidRDefault="004F2D42" w:rsidP="00206AE5">
    <w:pPr>
      <w:pStyle w:val="Fuzeile"/>
      <w:framePr w:wrap="none" w:vAnchor="text" w:hAnchor="margin" w:y="1"/>
      <w:rPr>
        <w:rStyle w:val="Seitenzahl"/>
        <w:rFonts w:ascii="Garamond" w:hAnsi="Garamond"/>
      </w:rPr>
    </w:pPr>
    <w:r w:rsidRPr="004F2D42">
      <w:rPr>
        <w:rStyle w:val="Seitenzahl"/>
        <w:rFonts w:ascii="Garamond" w:hAnsi="Garamond"/>
      </w:rPr>
      <w:fldChar w:fldCharType="begin"/>
    </w:r>
    <w:r w:rsidRPr="004F2D42">
      <w:rPr>
        <w:rStyle w:val="Seitenzahl"/>
        <w:rFonts w:ascii="Garamond" w:hAnsi="Garamond"/>
      </w:rPr>
      <w:instrText xml:space="preserve">PAGE  </w:instrText>
    </w:r>
    <w:r w:rsidRPr="004F2D42">
      <w:rPr>
        <w:rStyle w:val="Seitenzahl"/>
        <w:rFonts w:ascii="Garamond" w:hAnsi="Garamond"/>
      </w:rPr>
      <w:fldChar w:fldCharType="separate"/>
    </w:r>
    <w:r w:rsidR="00A1429A">
      <w:rPr>
        <w:rStyle w:val="Seitenzahl"/>
        <w:rFonts w:ascii="Garamond" w:hAnsi="Garamond"/>
        <w:noProof/>
      </w:rPr>
      <w:t>1</w:t>
    </w:r>
    <w:r w:rsidRPr="004F2D42">
      <w:rPr>
        <w:rStyle w:val="Seitenzahl"/>
        <w:rFonts w:ascii="Garamond" w:hAnsi="Garamond"/>
      </w:rPr>
      <w:fldChar w:fldCharType="end"/>
    </w:r>
  </w:p>
  <w:p w14:paraId="094657DA" w14:textId="77777777" w:rsidR="004F2D42" w:rsidRDefault="004F2D42" w:rsidP="004F2D42">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5C625" w14:textId="77777777" w:rsidR="00DA1BD0" w:rsidRDefault="00DA1BD0" w:rsidP="00E93B29">
      <w:r>
        <w:separator/>
      </w:r>
    </w:p>
  </w:footnote>
  <w:footnote w:type="continuationSeparator" w:id="0">
    <w:p w14:paraId="527471E7" w14:textId="77777777" w:rsidR="00DA1BD0" w:rsidRDefault="00DA1BD0" w:rsidP="00E93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FF"/>
    <w:rsid w:val="000847EB"/>
    <w:rsid w:val="00116989"/>
    <w:rsid w:val="00120683"/>
    <w:rsid w:val="001475CD"/>
    <w:rsid w:val="00161A6B"/>
    <w:rsid w:val="0018691B"/>
    <w:rsid w:val="0023523D"/>
    <w:rsid w:val="002808E2"/>
    <w:rsid w:val="00344624"/>
    <w:rsid w:val="0037203C"/>
    <w:rsid w:val="003D3E0F"/>
    <w:rsid w:val="004342C8"/>
    <w:rsid w:val="004F2D42"/>
    <w:rsid w:val="00573BBE"/>
    <w:rsid w:val="006358C2"/>
    <w:rsid w:val="006B11A7"/>
    <w:rsid w:val="007A3009"/>
    <w:rsid w:val="00817205"/>
    <w:rsid w:val="00867099"/>
    <w:rsid w:val="00A1429A"/>
    <w:rsid w:val="00AD1569"/>
    <w:rsid w:val="00B1326F"/>
    <w:rsid w:val="00B75C4E"/>
    <w:rsid w:val="00C33144"/>
    <w:rsid w:val="00CB1E1F"/>
    <w:rsid w:val="00D571B2"/>
    <w:rsid w:val="00DA1BD0"/>
    <w:rsid w:val="00DD6BFC"/>
    <w:rsid w:val="00DF06AF"/>
    <w:rsid w:val="00E24F11"/>
    <w:rsid w:val="00E273E1"/>
    <w:rsid w:val="00E431B0"/>
    <w:rsid w:val="00E43EFF"/>
    <w:rsid w:val="00E93B29"/>
    <w:rsid w:val="00EA14C6"/>
    <w:rsid w:val="00EE1E81"/>
    <w:rsid w:val="00F92B68"/>
    <w:rsid w:val="00FC63B5"/>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2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F11"/>
    <w:rPr>
      <w:color w:val="0563C1" w:themeColor="hyperlink"/>
      <w:u w:val="single"/>
    </w:rPr>
  </w:style>
  <w:style w:type="paragraph" w:styleId="Sprechblasentext">
    <w:name w:val="Balloon Text"/>
    <w:basedOn w:val="Standard"/>
    <w:link w:val="SprechblasentextZchn"/>
    <w:uiPriority w:val="99"/>
    <w:semiHidden/>
    <w:unhideWhenUsed/>
    <w:rsid w:val="00E43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1B0"/>
    <w:rPr>
      <w:rFonts w:ascii="Tahoma" w:hAnsi="Tahoma" w:cs="Tahoma"/>
      <w:sz w:val="16"/>
      <w:szCs w:val="16"/>
    </w:rPr>
  </w:style>
  <w:style w:type="character" w:styleId="Kommentarzeichen">
    <w:name w:val="annotation reference"/>
    <w:basedOn w:val="Absatz-Standardschriftart"/>
    <w:uiPriority w:val="99"/>
    <w:semiHidden/>
    <w:unhideWhenUsed/>
    <w:rsid w:val="00E431B0"/>
    <w:rPr>
      <w:sz w:val="16"/>
      <w:szCs w:val="16"/>
    </w:rPr>
  </w:style>
  <w:style w:type="paragraph" w:styleId="Kommentartext">
    <w:name w:val="annotation text"/>
    <w:basedOn w:val="Standard"/>
    <w:link w:val="KommentartextZchn"/>
    <w:uiPriority w:val="99"/>
    <w:semiHidden/>
    <w:unhideWhenUsed/>
    <w:rsid w:val="00E431B0"/>
    <w:rPr>
      <w:sz w:val="20"/>
      <w:szCs w:val="20"/>
    </w:rPr>
  </w:style>
  <w:style w:type="character" w:customStyle="1" w:styleId="KommentartextZchn">
    <w:name w:val="Kommentartext Zchn"/>
    <w:basedOn w:val="Absatz-Standardschriftart"/>
    <w:link w:val="Kommentartext"/>
    <w:uiPriority w:val="99"/>
    <w:semiHidden/>
    <w:rsid w:val="00E431B0"/>
    <w:rPr>
      <w:sz w:val="20"/>
      <w:szCs w:val="20"/>
    </w:rPr>
  </w:style>
  <w:style w:type="paragraph" w:styleId="Kommentarthema">
    <w:name w:val="annotation subject"/>
    <w:basedOn w:val="Kommentartext"/>
    <w:next w:val="Kommentartext"/>
    <w:link w:val="KommentarthemaZchn"/>
    <w:uiPriority w:val="99"/>
    <w:semiHidden/>
    <w:unhideWhenUsed/>
    <w:rsid w:val="00E431B0"/>
    <w:rPr>
      <w:b/>
      <w:bCs/>
    </w:rPr>
  </w:style>
  <w:style w:type="character" w:customStyle="1" w:styleId="KommentarthemaZchn">
    <w:name w:val="Kommentarthema Zchn"/>
    <w:basedOn w:val="KommentartextZchn"/>
    <w:link w:val="Kommentarthema"/>
    <w:uiPriority w:val="99"/>
    <w:semiHidden/>
    <w:rsid w:val="00E431B0"/>
    <w:rPr>
      <w:b/>
      <w:bCs/>
      <w:sz w:val="20"/>
      <w:szCs w:val="20"/>
    </w:rPr>
  </w:style>
  <w:style w:type="paragraph" w:styleId="Kopfzeile">
    <w:name w:val="header"/>
    <w:basedOn w:val="Standard"/>
    <w:link w:val="KopfzeileZchn"/>
    <w:uiPriority w:val="99"/>
    <w:unhideWhenUsed/>
    <w:rsid w:val="00E93B29"/>
    <w:pPr>
      <w:tabs>
        <w:tab w:val="center" w:pos="4536"/>
        <w:tab w:val="right" w:pos="9072"/>
      </w:tabs>
    </w:pPr>
  </w:style>
  <w:style w:type="character" w:customStyle="1" w:styleId="KopfzeileZchn">
    <w:name w:val="Kopfzeile Zchn"/>
    <w:basedOn w:val="Absatz-Standardschriftart"/>
    <w:link w:val="Kopfzeile"/>
    <w:uiPriority w:val="99"/>
    <w:rsid w:val="00E93B29"/>
  </w:style>
  <w:style w:type="paragraph" w:styleId="Fuzeile">
    <w:name w:val="footer"/>
    <w:basedOn w:val="Standard"/>
    <w:link w:val="FuzeileZchn"/>
    <w:uiPriority w:val="99"/>
    <w:unhideWhenUsed/>
    <w:rsid w:val="00E93B29"/>
    <w:pPr>
      <w:tabs>
        <w:tab w:val="center" w:pos="4536"/>
        <w:tab w:val="right" w:pos="9072"/>
      </w:tabs>
    </w:pPr>
  </w:style>
  <w:style w:type="character" w:customStyle="1" w:styleId="FuzeileZchn">
    <w:name w:val="Fußzeile Zchn"/>
    <w:basedOn w:val="Absatz-Standardschriftart"/>
    <w:link w:val="Fuzeile"/>
    <w:uiPriority w:val="99"/>
    <w:rsid w:val="00E93B29"/>
  </w:style>
  <w:style w:type="character" w:styleId="BesuchterHyperlink">
    <w:name w:val="FollowedHyperlink"/>
    <w:basedOn w:val="Absatz-Standardschriftart"/>
    <w:uiPriority w:val="99"/>
    <w:semiHidden/>
    <w:unhideWhenUsed/>
    <w:rsid w:val="0037203C"/>
    <w:rPr>
      <w:color w:val="954F72" w:themeColor="followedHyperlink"/>
      <w:u w:val="single"/>
    </w:rPr>
  </w:style>
  <w:style w:type="character" w:styleId="Seitenzahl">
    <w:name w:val="page number"/>
    <w:basedOn w:val="Absatz-Standardschriftart"/>
    <w:uiPriority w:val="99"/>
    <w:semiHidden/>
    <w:unhideWhenUsed/>
    <w:rsid w:val="004F2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2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F11"/>
    <w:rPr>
      <w:color w:val="0563C1" w:themeColor="hyperlink"/>
      <w:u w:val="single"/>
    </w:rPr>
  </w:style>
  <w:style w:type="paragraph" w:styleId="Sprechblasentext">
    <w:name w:val="Balloon Text"/>
    <w:basedOn w:val="Standard"/>
    <w:link w:val="SprechblasentextZchn"/>
    <w:uiPriority w:val="99"/>
    <w:semiHidden/>
    <w:unhideWhenUsed/>
    <w:rsid w:val="00E43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1B0"/>
    <w:rPr>
      <w:rFonts w:ascii="Tahoma" w:hAnsi="Tahoma" w:cs="Tahoma"/>
      <w:sz w:val="16"/>
      <w:szCs w:val="16"/>
    </w:rPr>
  </w:style>
  <w:style w:type="character" w:styleId="Kommentarzeichen">
    <w:name w:val="annotation reference"/>
    <w:basedOn w:val="Absatz-Standardschriftart"/>
    <w:uiPriority w:val="99"/>
    <w:semiHidden/>
    <w:unhideWhenUsed/>
    <w:rsid w:val="00E431B0"/>
    <w:rPr>
      <w:sz w:val="16"/>
      <w:szCs w:val="16"/>
    </w:rPr>
  </w:style>
  <w:style w:type="paragraph" w:styleId="Kommentartext">
    <w:name w:val="annotation text"/>
    <w:basedOn w:val="Standard"/>
    <w:link w:val="KommentartextZchn"/>
    <w:uiPriority w:val="99"/>
    <w:semiHidden/>
    <w:unhideWhenUsed/>
    <w:rsid w:val="00E431B0"/>
    <w:rPr>
      <w:sz w:val="20"/>
      <w:szCs w:val="20"/>
    </w:rPr>
  </w:style>
  <w:style w:type="character" w:customStyle="1" w:styleId="KommentartextZchn">
    <w:name w:val="Kommentartext Zchn"/>
    <w:basedOn w:val="Absatz-Standardschriftart"/>
    <w:link w:val="Kommentartext"/>
    <w:uiPriority w:val="99"/>
    <w:semiHidden/>
    <w:rsid w:val="00E431B0"/>
    <w:rPr>
      <w:sz w:val="20"/>
      <w:szCs w:val="20"/>
    </w:rPr>
  </w:style>
  <w:style w:type="paragraph" w:styleId="Kommentarthema">
    <w:name w:val="annotation subject"/>
    <w:basedOn w:val="Kommentartext"/>
    <w:next w:val="Kommentartext"/>
    <w:link w:val="KommentarthemaZchn"/>
    <w:uiPriority w:val="99"/>
    <w:semiHidden/>
    <w:unhideWhenUsed/>
    <w:rsid w:val="00E431B0"/>
    <w:rPr>
      <w:b/>
      <w:bCs/>
    </w:rPr>
  </w:style>
  <w:style w:type="character" w:customStyle="1" w:styleId="KommentarthemaZchn">
    <w:name w:val="Kommentarthema Zchn"/>
    <w:basedOn w:val="KommentartextZchn"/>
    <w:link w:val="Kommentarthema"/>
    <w:uiPriority w:val="99"/>
    <w:semiHidden/>
    <w:rsid w:val="00E431B0"/>
    <w:rPr>
      <w:b/>
      <w:bCs/>
      <w:sz w:val="20"/>
      <w:szCs w:val="20"/>
    </w:rPr>
  </w:style>
  <w:style w:type="paragraph" w:styleId="Kopfzeile">
    <w:name w:val="header"/>
    <w:basedOn w:val="Standard"/>
    <w:link w:val="KopfzeileZchn"/>
    <w:uiPriority w:val="99"/>
    <w:unhideWhenUsed/>
    <w:rsid w:val="00E93B29"/>
    <w:pPr>
      <w:tabs>
        <w:tab w:val="center" w:pos="4536"/>
        <w:tab w:val="right" w:pos="9072"/>
      </w:tabs>
    </w:pPr>
  </w:style>
  <w:style w:type="character" w:customStyle="1" w:styleId="KopfzeileZchn">
    <w:name w:val="Kopfzeile Zchn"/>
    <w:basedOn w:val="Absatz-Standardschriftart"/>
    <w:link w:val="Kopfzeile"/>
    <w:uiPriority w:val="99"/>
    <w:rsid w:val="00E93B29"/>
  </w:style>
  <w:style w:type="paragraph" w:styleId="Fuzeile">
    <w:name w:val="footer"/>
    <w:basedOn w:val="Standard"/>
    <w:link w:val="FuzeileZchn"/>
    <w:uiPriority w:val="99"/>
    <w:unhideWhenUsed/>
    <w:rsid w:val="00E93B29"/>
    <w:pPr>
      <w:tabs>
        <w:tab w:val="center" w:pos="4536"/>
        <w:tab w:val="right" w:pos="9072"/>
      </w:tabs>
    </w:pPr>
  </w:style>
  <w:style w:type="character" w:customStyle="1" w:styleId="FuzeileZchn">
    <w:name w:val="Fußzeile Zchn"/>
    <w:basedOn w:val="Absatz-Standardschriftart"/>
    <w:link w:val="Fuzeile"/>
    <w:uiPriority w:val="99"/>
    <w:rsid w:val="00E93B29"/>
  </w:style>
  <w:style w:type="character" w:styleId="BesuchterHyperlink">
    <w:name w:val="FollowedHyperlink"/>
    <w:basedOn w:val="Absatz-Standardschriftart"/>
    <w:uiPriority w:val="99"/>
    <w:semiHidden/>
    <w:unhideWhenUsed/>
    <w:rsid w:val="0037203C"/>
    <w:rPr>
      <w:color w:val="954F72" w:themeColor="followedHyperlink"/>
      <w:u w:val="single"/>
    </w:rPr>
  </w:style>
  <w:style w:type="character" w:styleId="Seitenzahl">
    <w:name w:val="page number"/>
    <w:basedOn w:val="Absatz-Standardschriftart"/>
    <w:uiPriority w:val="99"/>
    <w:semiHidden/>
    <w:unhideWhenUsed/>
    <w:rsid w:val="004F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hyperlink" Target="https://www.uni-heidelberg.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me.arcor.de/nieselpriem/index-fr.htm"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univ-paris1.f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ciencespo.fr/" TargetMode="External"/><Relationship Id="rId20" Type="http://schemas.openxmlformats.org/officeDocument/2006/relationships/hyperlink" Target="http://www.ciera.fr/ciera/?lang=de" TargetMode="Externa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eiparismax.eu/fr/projet"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mpil.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uckduckgo.com/?q=28+rue+Serpente%2C+F-75006+Paris+google+map&amp;t=ffab&amp;ia=maps" TargetMode="External"/><Relationship Id="rId22" Type="http://schemas.openxmlformats.org/officeDocument/2006/relationships/hyperlink" Target="mailto:cyberd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Völkerrecht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Varhanyovszki, Fanni</cp:lastModifiedBy>
  <cp:revision>2</cp:revision>
  <dcterms:created xsi:type="dcterms:W3CDTF">2016-09-13T08:33:00Z</dcterms:created>
  <dcterms:modified xsi:type="dcterms:W3CDTF">2016-09-13T08:33:00Z</dcterms:modified>
</cp:coreProperties>
</file>