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26C5F" w14:textId="77777777" w:rsidR="00D447A7" w:rsidRDefault="00450CBE" w:rsidP="00803297">
      <w:pPr>
        <w:spacing w:line="360" w:lineRule="auto"/>
      </w:pPr>
      <w:r>
        <w:rPr>
          <w:noProof/>
        </w:rPr>
        <w:drawing>
          <wp:inline distT="0" distB="0" distL="0" distR="0" wp14:anchorId="3D073D4D" wp14:editId="59C792CE">
            <wp:extent cx="5732145" cy="1166495"/>
            <wp:effectExtent l="0" t="0" r="190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IL_logo_en_farbi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42B03" w14:textId="77777777" w:rsidR="00803297" w:rsidRDefault="00803297" w:rsidP="00803297">
      <w:pPr>
        <w:spacing w:line="360" w:lineRule="auto"/>
      </w:pPr>
    </w:p>
    <w:p w14:paraId="1AF2FC44" w14:textId="77777777" w:rsidR="00624580" w:rsidRDefault="00803297" w:rsidP="00803297">
      <w:pPr>
        <w:spacing w:line="360" w:lineRule="auto"/>
        <w:jc w:val="center"/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t xml:space="preserve">“70 Years of EU Law: Continuity </w:t>
      </w:r>
      <w:r w:rsidR="001E61F5">
        <w:rPr>
          <w:b/>
          <w:bCs/>
          <w:sz w:val="32"/>
          <w:szCs w:val="40"/>
        </w:rPr>
        <w:t xml:space="preserve">and </w:t>
      </w:r>
      <w:r w:rsidR="00624580">
        <w:rPr>
          <w:b/>
          <w:bCs/>
          <w:sz w:val="32"/>
          <w:szCs w:val="40"/>
        </w:rPr>
        <w:t>Discontinuity</w:t>
      </w:r>
      <w:r>
        <w:rPr>
          <w:b/>
          <w:bCs/>
          <w:sz w:val="32"/>
          <w:szCs w:val="40"/>
        </w:rPr>
        <w:t>”</w:t>
      </w:r>
    </w:p>
    <w:p w14:paraId="76C47EF0" w14:textId="77777777" w:rsidR="00803297" w:rsidRDefault="00803297" w:rsidP="00803297">
      <w:pPr>
        <w:spacing w:line="360" w:lineRule="auto"/>
        <w:jc w:val="center"/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t>MPIL</w:t>
      </w:r>
      <w:r w:rsidR="00FA26B2">
        <w:rPr>
          <w:b/>
          <w:bCs/>
          <w:sz w:val="32"/>
          <w:szCs w:val="40"/>
        </w:rPr>
        <w:t xml:space="preserve"> (Heidelberg, Germany)</w:t>
      </w:r>
      <w:r>
        <w:rPr>
          <w:b/>
          <w:bCs/>
          <w:sz w:val="32"/>
          <w:szCs w:val="40"/>
        </w:rPr>
        <w:t>, 1</w:t>
      </w:r>
      <w:r w:rsidRPr="00803297">
        <w:rPr>
          <w:b/>
          <w:bCs/>
          <w:sz w:val="32"/>
          <w:szCs w:val="40"/>
          <w:vertAlign w:val="superscript"/>
        </w:rPr>
        <w:t>st</w:t>
      </w:r>
      <w:r>
        <w:rPr>
          <w:b/>
          <w:bCs/>
          <w:sz w:val="32"/>
          <w:szCs w:val="40"/>
        </w:rPr>
        <w:t>-3</w:t>
      </w:r>
      <w:r w:rsidRPr="00803297">
        <w:rPr>
          <w:b/>
          <w:bCs/>
          <w:sz w:val="32"/>
          <w:szCs w:val="40"/>
          <w:vertAlign w:val="superscript"/>
        </w:rPr>
        <w:t>rd</w:t>
      </w:r>
      <w:r>
        <w:rPr>
          <w:b/>
          <w:bCs/>
          <w:sz w:val="32"/>
          <w:szCs w:val="40"/>
        </w:rPr>
        <w:t xml:space="preserve"> February 2024</w:t>
      </w:r>
    </w:p>
    <w:p w14:paraId="6B46ACE7" w14:textId="77777777" w:rsidR="00323611" w:rsidRDefault="00803297" w:rsidP="00323611">
      <w:pPr>
        <w:pBdr>
          <w:bottom w:val="single" w:sz="6" w:space="1" w:color="auto"/>
        </w:pBdr>
        <w:spacing w:line="360" w:lineRule="auto"/>
        <w:jc w:val="center"/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t>Call for papers</w:t>
      </w:r>
    </w:p>
    <w:p w14:paraId="11641388" w14:textId="5F9AB048" w:rsidR="00B71C73" w:rsidRDefault="001F0F60" w:rsidP="00245BFB">
      <w:p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 European Commission’s Legal Service recently </w:t>
      </w:r>
      <w:r w:rsidR="00FE4E27">
        <w:rPr>
          <w:sz w:val="24"/>
          <w:szCs w:val="24"/>
        </w:rPr>
        <w:t>published a collective book on “</w:t>
      </w:r>
      <w:r w:rsidR="00124951" w:rsidRPr="00124951">
        <w:rPr>
          <w:sz w:val="24"/>
          <w:szCs w:val="24"/>
        </w:rPr>
        <w:t>70 Years of EU Law: A Union for Its Citizens</w:t>
      </w:r>
      <w:r w:rsidR="00FE4E27">
        <w:rPr>
          <w:sz w:val="24"/>
          <w:szCs w:val="24"/>
        </w:rPr>
        <w:t>” (Publications Office of the EU 2022</w:t>
      </w:r>
      <w:r w:rsidR="007A6CBE">
        <w:rPr>
          <w:sz w:val="24"/>
          <w:szCs w:val="24"/>
        </w:rPr>
        <w:t xml:space="preserve">, </w:t>
      </w:r>
      <w:r w:rsidR="00B90A85">
        <w:rPr>
          <w:sz w:val="24"/>
          <w:szCs w:val="24"/>
        </w:rPr>
        <w:t xml:space="preserve">available </w:t>
      </w:r>
      <w:r w:rsidR="007A6CBE">
        <w:rPr>
          <w:sz w:val="24"/>
          <w:szCs w:val="24"/>
        </w:rPr>
        <w:t xml:space="preserve">open-access at </w:t>
      </w:r>
      <w:hyperlink r:id="rId9" w:history="1">
        <w:r w:rsidR="007A6CBE" w:rsidRPr="00EF24B4">
          <w:rPr>
            <w:rStyle w:val="Hyperlink"/>
            <w:sz w:val="24"/>
            <w:szCs w:val="24"/>
          </w:rPr>
          <w:t>https://op.europa.eu/en/publication-detail/-/publication/88c3f547-6ed0-11ed-9887-01aa75ed71a1/language-en</w:t>
        </w:r>
      </w:hyperlink>
      <w:r w:rsidR="007A6CBE">
        <w:rPr>
          <w:sz w:val="24"/>
          <w:szCs w:val="24"/>
        </w:rPr>
        <w:t>.</w:t>
      </w:r>
      <w:r w:rsidR="00FE4E27">
        <w:rPr>
          <w:sz w:val="24"/>
          <w:szCs w:val="24"/>
        </w:rPr>
        <w:t xml:space="preserve">), setting out to recapitulate the evolution of </w:t>
      </w:r>
      <w:r w:rsidR="00FA26B2">
        <w:rPr>
          <w:sz w:val="24"/>
          <w:szCs w:val="24"/>
        </w:rPr>
        <w:t>EU</w:t>
      </w:r>
      <w:r w:rsidR="00124951">
        <w:rPr>
          <w:sz w:val="24"/>
          <w:szCs w:val="24"/>
        </w:rPr>
        <w:t>’s legal system</w:t>
      </w:r>
      <w:r w:rsidR="00FE4E27">
        <w:rPr>
          <w:sz w:val="24"/>
          <w:szCs w:val="24"/>
        </w:rPr>
        <w:t>.</w:t>
      </w:r>
      <w:r w:rsidR="00245BFB">
        <w:rPr>
          <w:sz w:val="24"/>
          <w:szCs w:val="24"/>
        </w:rPr>
        <w:t xml:space="preserve"> T</w:t>
      </w:r>
      <w:r w:rsidR="00FE4E27">
        <w:rPr>
          <w:sz w:val="24"/>
          <w:szCs w:val="24"/>
        </w:rPr>
        <w:t xml:space="preserve">he </w:t>
      </w:r>
      <w:r w:rsidR="006510CB">
        <w:rPr>
          <w:sz w:val="24"/>
          <w:szCs w:val="24"/>
        </w:rPr>
        <w:t>Legal Service</w:t>
      </w:r>
      <w:r w:rsidR="00FE4E27">
        <w:rPr>
          <w:sz w:val="24"/>
          <w:szCs w:val="24"/>
        </w:rPr>
        <w:t xml:space="preserve">’s book </w:t>
      </w:r>
      <w:r w:rsidR="00245BFB">
        <w:rPr>
          <w:sz w:val="24"/>
          <w:szCs w:val="24"/>
        </w:rPr>
        <w:t xml:space="preserve">is </w:t>
      </w:r>
      <w:r w:rsidR="00FE4E27">
        <w:rPr>
          <w:sz w:val="24"/>
          <w:szCs w:val="24"/>
        </w:rPr>
        <w:t xml:space="preserve">marked by several </w:t>
      </w:r>
      <w:r w:rsidR="00245BFB">
        <w:rPr>
          <w:sz w:val="24"/>
          <w:szCs w:val="24"/>
        </w:rPr>
        <w:t xml:space="preserve">implicit, yet </w:t>
      </w:r>
      <w:r w:rsidR="00FE4E27">
        <w:rPr>
          <w:sz w:val="24"/>
          <w:szCs w:val="24"/>
        </w:rPr>
        <w:t xml:space="preserve">distinctive </w:t>
      </w:r>
      <w:r w:rsidR="000E22AC">
        <w:rPr>
          <w:sz w:val="24"/>
          <w:szCs w:val="24"/>
        </w:rPr>
        <w:t xml:space="preserve">interpretive </w:t>
      </w:r>
      <w:r w:rsidR="00FE4E27">
        <w:rPr>
          <w:sz w:val="24"/>
          <w:szCs w:val="24"/>
        </w:rPr>
        <w:t>choices</w:t>
      </w:r>
      <w:r w:rsidR="00D57381">
        <w:rPr>
          <w:sz w:val="24"/>
          <w:szCs w:val="24"/>
        </w:rPr>
        <w:t xml:space="preserve">. </w:t>
      </w:r>
      <w:r w:rsidR="00124951">
        <w:rPr>
          <w:sz w:val="24"/>
          <w:szCs w:val="24"/>
        </w:rPr>
        <w:t>I</w:t>
      </w:r>
      <w:bookmarkStart w:id="0" w:name="_GoBack"/>
      <w:bookmarkEnd w:id="0"/>
      <w:r w:rsidR="00124951">
        <w:rPr>
          <w:sz w:val="24"/>
          <w:szCs w:val="24"/>
        </w:rPr>
        <w:t>t</w:t>
      </w:r>
      <w:r w:rsidR="00D57381">
        <w:rPr>
          <w:sz w:val="24"/>
          <w:szCs w:val="24"/>
        </w:rPr>
        <w:t xml:space="preserve"> shows a</w:t>
      </w:r>
      <w:r w:rsidR="00245BFB">
        <w:rPr>
          <w:sz w:val="24"/>
          <w:szCs w:val="24"/>
        </w:rPr>
        <w:t xml:space="preserve">n </w:t>
      </w:r>
      <w:r w:rsidR="009A713F">
        <w:rPr>
          <w:sz w:val="24"/>
          <w:szCs w:val="24"/>
        </w:rPr>
        <w:t>incremental</w:t>
      </w:r>
      <w:r w:rsidR="00FE4E27">
        <w:rPr>
          <w:sz w:val="24"/>
          <w:szCs w:val="24"/>
        </w:rPr>
        <w:t xml:space="preserve"> </w:t>
      </w:r>
      <w:r w:rsidR="00D57381">
        <w:rPr>
          <w:sz w:val="24"/>
          <w:szCs w:val="24"/>
        </w:rPr>
        <w:t xml:space="preserve">understanding of </w:t>
      </w:r>
      <w:r w:rsidR="00FE4E27">
        <w:rPr>
          <w:sz w:val="24"/>
          <w:szCs w:val="24"/>
        </w:rPr>
        <w:t>European integration</w:t>
      </w:r>
      <w:r w:rsidR="00603982">
        <w:rPr>
          <w:sz w:val="24"/>
          <w:szCs w:val="24"/>
        </w:rPr>
        <w:t xml:space="preserve"> </w:t>
      </w:r>
      <w:r w:rsidR="001117D1">
        <w:rPr>
          <w:sz w:val="24"/>
          <w:szCs w:val="24"/>
        </w:rPr>
        <w:t>aligned</w:t>
      </w:r>
      <w:r w:rsidR="00603982">
        <w:rPr>
          <w:sz w:val="24"/>
          <w:szCs w:val="24"/>
        </w:rPr>
        <w:t xml:space="preserve"> with neo-functional </w:t>
      </w:r>
      <w:r w:rsidR="001117D1">
        <w:rPr>
          <w:sz w:val="24"/>
          <w:szCs w:val="24"/>
        </w:rPr>
        <w:t>theories</w:t>
      </w:r>
      <w:r w:rsidR="00D57381">
        <w:rPr>
          <w:sz w:val="24"/>
          <w:szCs w:val="24"/>
        </w:rPr>
        <w:t xml:space="preserve">. Moreover, it sees </w:t>
      </w:r>
      <w:r w:rsidR="00FE4E27">
        <w:rPr>
          <w:sz w:val="24"/>
          <w:szCs w:val="24"/>
        </w:rPr>
        <w:t>the EU’s legal system through the lens of the “integration through law” paradigm</w:t>
      </w:r>
      <w:r w:rsidR="00D57381">
        <w:rPr>
          <w:sz w:val="24"/>
          <w:szCs w:val="24"/>
        </w:rPr>
        <w:t xml:space="preserve">. It also insists </w:t>
      </w:r>
      <w:r w:rsidR="000E22AC">
        <w:rPr>
          <w:sz w:val="24"/>
          <w:szCs w:val="24"/>
        </w:rPr>
        <w:t xml:space="preserve">on </w:t>
      </w:r>
      <w:r w:rsidR="009A713F">
        <w:rPr>
          <w:sz w:val="24"/>
          <w:szCs w:val="24"/>
        </w:rPr>
        <w:t xml:space="preserve">tangible changes </w:t>
      </w:r>
      <w:r w:rsidR="00D57381">
        <w:rPr>
          <w:sz w:val="24"/>
          <w:szCs w:val="24"/>
        </w:rPr>
        <w:t xml:space="preserve">for </w:t>
      </w:r>
      <w:r w:rsidR="00942BAA">
        <w:rPr>
          <w:sz w:val="24"/>
          <w:szCs w:val="24"/>
        </w:rPr>
        <w:t>European citizens’ everyday life</w:t>
      </w:r>
      <w:r w:rsidR="00603982">
        <w:rPr>
          <w:sz w:val="24"/>
          <w:szCs w:val="24"/>
        </w:rPr>
        <w:t>,</w:t>
      </w:r>
      <w:r w:rsidR="00D57381">
        <w:rPr>
          <w:sz w:val="24"/>
          <w:szCs w:val="24"/>
        </w:rPr>
        <w:t xml:space="preserve"> </w:t>
      </w:r>
      <w:r w:rsidR="00603982">
        <w:rPr>
          <w:sz w:val="24"/>
          <w:szCs w:val="24"/>
        </w:rPr>
        <w:t xml:space="preserve">in </w:t>
      </w:r>
      <w:r w:rsidR="001117D1">
        <w:rPr>
          <w:sz w:val="24"/>
          <w:szCs w:val="24"/>
        </w:rPr>
        <w:t xml:space="preserve">keeping </w:t>
      </w:r>
      <w:r w:rsidR="00603982">
        <w:rPr>
          <w:sz w:val="24"/>
          <w:szCs w:val="24"/>
        </w:rPr>
        <w:t>with</w:t>
      </w:r>
      <w:r w:rsidR="00D57381">
        <w:rPr>
          <w:sz w:val="24"/>
          <w:szCs w:val="24"/>
        </w:rPr>
        <w:t xml:space="preserve"> </w:t>
      </w:r>
      <w:r w:rsidR="00942BAA">
        <w:rPr>
          <w:sz w:val="24"/>
          <w:szCs w:val="24"/>
        </w:rPr>
        <w:t>the “output legitimacy” reading of European integration.</w:t>
      </w:r>
    </w:p>
    <w:p w14:paraId="474DF464" w14:textId="65CC5BB0" w:rsidR="00B71C73" w:rsidRDefault="00603982" w:rsidP="00B71C73">
      <w:p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Overarchingly, t</w:t>
      </w:r>
      <w:r w:rsidR="00942BAA">
        <w:rPr>
          <w:sz w:val="24"/>
          <w:szCs w:val="24"/>
        </w:rPr>
        <w:t xml:space="preserve">he book suggests an interpretation of EU law’s evolution aligned with a </w:t>
      </w:r>
      <w:r w:rsidR="00942BAA">
        <w:rPr>
          <w:i/>
          <w:iCs/>
          <w:sz w:val="24"/>
          <w:szCs w:val="24"/>
        </w:rPr>
        <w:t>continuity</w:t>
      </w:r>
      <w:r w:rsidR="00942BAA">
        <w:rPr>
          <w:sz w:val="24"/>
          <w:szCs w:val="24"/>
        </w:rPr>
        <w:t xml:space="preserve"> paradigm. Under this approach, the multiple developments </w:t>
      </w:r>
      <w:r w:rsidR="00D57381">
        <w:rPr>
          <w:sz w:val="24"/>
          <w:szCs w:val="24"/>
        </w:rPr>
        <w:t xml:space="preserve">that </w:t>
      </w:r>
      <w:r w:rsidR="00942BAA">
        <w:rPr>
          <w:sz w:val="24"/>
          <w:szCs w:val="24"/>
        </w:rPr>
        <w:t>mark</w:t>
      </w:r>
      <w:r>
        <w:rPr>
          <w:sz w:val="24"/>
          <w:szCs w:val="24"/>
        </w:rPr>
        <w:t>ed</w:t>
      </w:r>
      <w:r w:rsidR="00942BAA">
        <w:rPr>
          <w:sz w:val="24"/>
          <w:szCs w:val="24"/>
        </w:rPr>
        <w:t xml:space="preserve"> the history of EU law (from the </w:t>
      </w:r>
      <w:r w:rsidR="00FA26B2">
        <w:rPr>
          <w:sz w:val="24"/>
          <w:szCs w:val="24"/>
        </w:rPr>
        <w:t>“</w:t>
      </w:r>
      <w:proofErr w:type="spellStart"/>
      <w:r w:rsidR="00942BAA">
        <w:rPr>
          <w:sz w:val="24"/>
          <w:szCs w:val="24"/>
        </w:rPr>
        <w:t>supranationalisation</w:t>
      </w:r>
      <w:proofErr w:type="spellEnd"/>
      <w:r w:rsidR="00FA26B2">
        <w:rPr>
          <w:sz w:val="24"/>
          <w:szCs w:val="24"/>
        </w:rPr>
        <w:t>”</w:t>
      </w:r>
      <w:r w:rsidR="00942BAA">
        <w:rPr>
          <w:sz w:val="24"/>
          <w:szCs w:val="24"/>
        </w:rPr>
        <w:t xml:space="preserve"> of EU law through </w:t>
      </w:r>
      <w:r w:rsidR="00942BAA">
        <w:rPr>
          <w:i/>
          <w:iCs/>
          <w:sz w:val="24"/>
          <w:szCs w:val="24"/>
        </w:rPr>
        <w:t xml:space="preserve">Van </w:t>
      </w:r>
      <w:proofErr w:type="spellStart"/>
      <w:r w:rsidR="00942BAA">
        <w:rPr>
          <w:i/>
          <w:iCs/>
          <w:sz w:val="24"/>
          <w:szCs w:val="24"/>
        </w:rPr>
        <w:t>Gend</w:t>
      </w:r>
      <w:proofErr w:type="spellEnd"/>
      <w:r w:rsidR="00942BAA">
        <w:rPr>
          <w:i/>
          <w:iCs/>
          <w:sz w:val="24"/>
          <w:szCs w:val="24"/>
        </w:rPr>
        <w:t xml:space="preserve"> </w:t>
      </w:r>
      <w:proofErr w:type="spellStart"/>
      <w:r w:rsidR="00942BAA">
        <w:rPr>
          <w:i/>
          <w:iCs/>
          <w:sz w:val="24"/>
          <w:szCs w:val="24"/>
        </w:rPr>
        <w:t>en</w:t>
      </w:r>
      <w:proofErr w:type="spellEnd"/>
      <w:r w:rsidR="00942BAA">
        <w:rPr>
          <w:i/>
          <w:iCs/>
          <w:sz w:val="24"/>
          <w:szCs w:val="24"/>
        </w:rPr>
        <w:t xml:space="preserve"> Loos</w:t>
      </w:r>
      <w:r w:rsidR="00942BAA">
        <w:rPr>
          <w:sz w:val="24"/>
          <w:szCs w:val="24"/>
        </w:rPr>
        <w:t xml:space="preserve"> and </w:t>
      </w:r>
      <w:r w:rsidR="00942BAA">
        <w:rPr>
          <w:i/>
          <w:iCs/>
          <w:sz w:val="24"/>
          <w:szCs w:val="24"/>
        </w:rPr>
        <w:t>Costa/ENEL</w:t>
      </w:r>
      <w:r w:rsidR="00942BAA">
        <w:rPr>
          <w:sz w:val="24"/>
          <w:szCs w:val="24"/>
        </w:rPr>
        <w:t xml:space="preserve"> to the novelties </w:t>
      </w:r>
      <w:r w:rsidR="00FE7D87">
        <w:rPr>
          <w:sz w:val="24"/>
          <w:szCs w:val="24"/>
        </w:rPr>
        <w:t>introduced</w:t>
      </w:r>
      <w:r w:rsidR="00942BAA">
        <w:rPr>
          <w:sz w:val="24"/>
          <w:szCs w:val="24"/>
        </w:rPr>
        <w:t xml:space="preserve"> in the “rule of law crisis”)</w:t>
      </w:r>
      <w:r w:rsidR="00FA26B2">
        <w:rPr>
          <w:sz w:val="24"/>
          <w:szCs w:val="24"/>
        </w:rPr>
        <w:t xml:space="preserve"> emerge as a coherent development. </w:t>
      </w:r>
      <w:r w:rsidR="00D57381">
        <w:rPr>
          <w:sz w:val="24"/>
          <w:szCs w:val="24"/>
        </w:rPr>
        <w:t>Hence, t</w:t>
      </w:r>
      <w:r w:rsidR="00FE7D87">
        <w:rPr>
          <w:sz w:val="24"/>
          <w:szCs w:val="24"/>
        </w:rPr>
        <w:t>he evolution of EU law,</w:t>
      </w:r>
      <w:r w:rsidR="00FA26B2">
        <w:rPr>
          <w:sz w:val="24"/>
          <w:szCs w:val="24"/>
        </w:rPr>
        <w:t xml:space="preserve"> </w:t>
      </w:r>
      <w:r w:rsidR="00D57381">
        <w:rPr>
          <w:sz w:val="24"/>
          <w:szCs w:val="24"/>
        </w:rPr>
        <w:t xml:space="preserve">though </w:t>
      </w:r>
      <w:r w:rsidR="00FA26B2">
        <w:rPr>
          <w:sz w:val="24"/>
          <w:szCs w:val="24"/>
        </w:rPr>
        <w:t xml:space="preserve">often occurring in response to </w:t>
      </w:r>
      <w:r w:rsidR="00D57381">
        <w:rPr>
          <w:sz w:val="24"/>
          <w:szCs w:val="24"/>
        </w:rPr>
        <w:t xml:space="preserve">unforeseen </w:t>
      </w:r>
      <w:r w:rsidR="00FA26B2">
        <w:rPr>
          <w:sz w:val="24"/>
          <w:szCs w:val="24"/>
        </w:rPr>
        <w:t xml:space="preserve">developments and </w:t>
      </w:r>
      <w:r w:rsidR="00D57381">
        <w:rPr>
          <w:sz w:val="24"/>
          <w:szCs w:val="24"/>
        </w:rPr>
        <w:t>challenges</w:t>
      </w:r>
      <w:r w:rsidR="00FA26B2">
        <w:rPr>
          <w:sz w:val="24"/>
          <w:szCs w:val="24"/>
        </w:rPr>
        <w:t xml:space="preserve">, </w:t>
      </w:r>
      <w:r w:rsidR="001117D1">
        <w:rPr>
          <w:sz w:val="24"/>
          <w:szCs w:val="24"/>
        </w:rPr>
        <w:t>is presented as</w:t>
      </w:r>
      <w:r w:rsidR="00FA26B2">
        <w:rPr>
          <w:sz w:val="24"/>
          <w:szCs w:val="24"/>
        </w:rPr>
        <w:t xml:space="preserve"> </w:t>
      </w:r>
      <w:r w:rsidR="00D57381">
        <w:rPr>
          <w:sz w:val="24"/>
          <w:szCs w:val="24"/>
        </w:rPr>
        <w:t xml:space="preserve">the </w:t>
      </w:r>
      <w:r w:rsidR="00FA26B2">
        <w:rPr>
          <w:sz w:val="24"/>
          <w:szCs w:val="24"/>
        </w:rPr>
        <w:t xml:space="preserve">progressive </w:t>
      </w:r>
      <w:proofErr w:type="spellStart"/>
      <w:r w:rsidR="00FA26B2">
        <w:rPr>
          <w:sz w:val="24"/>
          <w:szCs w:val="24"/>
        </w:rPr>
        <w:t>realisation</w:t>
      </w:r>
      <w:proofErr w:type="spellEnd"/>
      <w:r w:rsidR="00FA26B2">
        <w:rPr>
          <w:sz w:val="24"/>
          <w:szCs w:val="24"/>
        </w:rPr>
        <w:t xml:space="preserve"> of the founding fathers’ forward-looking vision.</w:t>
      </w:r>
    </w:p>
    <w:p w14:paraId="14A56BB5" w14:textId="65E7E785" w:rsidR="00B71C73" w:rsidRPr="008E3BD8" w:rsidRDefault="0097709A" w:rsidP="00B71C73">
      <w:p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245BFB">
        <w:rPr>
          <w:sz w:val="24"/>
          <w:szCs w:val="24"/>
        </w:rPr>
        <w:t>here are</w:t>
      </w:r>
      <w:r w:rsidR="00603982">
        <w:rPr>
          <w:sz w:val="24"/>
          <w:szCs w:val="24"/>
        </w:rPr>
        <w:t>, however,</w:t>
      </w:r>
      <w:r w:rsidR="00245BFB">
        <w:rPr>
          <w:sz w:val="24"/>
          <w:szCs w:val="24"/>
        </w:rPr>
        <w:t xml:space="preserve"> different takes on the evolution of EU law</w:t>
      </w:r>
      <w:r w:rsidR="00603982">
        <w:rPr>
          <w:sz w:val="24"/>
          <w:szCs w:val="24"/>
        </w:rPr>
        <w:t>,</w:t>
      </w:r>
      <w:r w:rsidR="000E22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that come with different </w:t>
      </w:r>
      <w:r w:rsidR="000E22AC">
        <w:rPr>
          <w:sz w:val="24"/>
          <w:szCs w:val="24"/>
        </w:rPr>
        <w:t>interpretive choices</w:t>
      </w:r>
      <w:r w:rsidR="00245BFB">
        <w:rPr>
          <w:sz w:val="24"/>
          <w:szCs w:val="24"/>
        </w:rPr>
        <w:t xml:space="preserve">. </w:t>
      </w:r>
      <w:r w:rsidR="000E22AC">
        <w:rPr>
          <w:sz w:val="24"/>
          <w:szCs w:val="24"/>
        </w:rPr>
        <w:t xml:space="preserve">For instance, </w:t>
      </w:r>
      <w:r w:rsidR="007F09DB">
        <w:rPr>
          <w:sz w:val="24"/>
          <w:szCs w:val="24"/>
        </w:rPr>
        <w:t xml:space="preserve">Antoine Vauchez has highlighted the contingencies and </w:t>
      </w:r>
      <w:r w:rsidR="00624580">
        <w:rPr>
          <w:sz w:val="24"/>
          <w:szCs w:val="24"/>
        </w:rPr>
        <w:t>confrontations</w:t>
      </w:r>
      <w:r w:rsidR="007F09DB">
        <w:rPr>
          <w:sz w:val="24"/>
          <w:szCs w:val="24"/>
        </w:rPr>
        <w:t xml:space="preserve"> inherent in the evolution of EU law as a “social field”. </w:t>
      </w:r>
      <w:r w:rsidR="004457D8">
        <w:rPr>
          <w:sz w:val="24"/>
          <w:szCs w:val="24"/>
        </w:rPr>
        <w:t xml:space="preserve">Under this account, far from being the unfolding of a tale foretold, the evolution of EU law </w:t>
      </w:r>
      <w:r>
        <w:rPr>
          <w:sz w:val="24"/>
          <w:szCs w:val="24"/>
        </w:rPr>
        <w:t xml:space="preserve">is </w:t>
      </w:r>
      <w:r w:rsidR="004457D8">
        <w:rPr>
          <w:sz w:val="24"/>
          <w:szCs w:val="24"/>
        </w:rPr>
        <w:t xml:space="preserve">best </w:t>
      </w:r>
      <w:proofErr w:type="spellStart"/>
      <w:r w:rsidR="004457D8">
        <w:rPr>
          <w:sz w:val="24"/>
          <w:szCs w:val="24"/>
        </w:rPr>
        <w:lastRenderedPageBreak/>
        <w:t>characterised</w:t>
      </w:r>
      <w:proofErr w:type="spellEnd"/>
      <w:r w:rsidR="004457D8">
        <w:rPr>
          <w:sz w:val="24"/>
          <w:szCs w:val="24"/>
        </w:rPr>
        <w:t xml:space="preserve"> as the outcome of </w:t>
      </w:r>
      <w:r w:rsidR="003572F4">
        <w:rPr>
          <w:sz w:val="24"/>
          <w:szCs w:val="24"/>
        </w:rPr>
        <w:t>historically</w:t>
      </w:r>
      <w:r w:rsidR="00624580">
        <w:rPr>
          <w:sz w:val="24"/>
          <w:szCs w:val="24"/>
        </w:rPr>
        <w:t xml:space="preserve"> situated competitive struggles.</w:t>
      </w:r>
      <w:r w:rsidR="00245BFB">
        <w:rPr>
          <w:sz w:val="24"/>
          <w:szCs w:val="24"/>
        </w:rPr>
        <w:t xml:space="preserve"> </w:t>
      </w:r>
      <w:r w:rsidR="00624580">
        <w:rPr>
          <w:sz w:val="24"/>
          <w:szCs w:val="24"/>
        </w:rPr>
        <w:t xml:space="preserve">Such an approach </w:t>
      </w:r>
      <w:r w:rsidR="00FE7D87">
        <w:rPr>
          <w:sz w:val="24"/>
          <w:szCs w:val="24"/>
        </w:rPr>
        <w:t>resonates</w:t>
      </w:r>
      <w:r w:rsidR="00624580">
        <w:rPr>
          <w:sz w:val="24"/>
          <w:szCs w:val="24"/>
        </w:rPr>
        <w:t xml:space="preserve"> with Pier Giuseppe </w:t>
      </w:r>
      <w:proofErr w:type="spellStart"/>
      <w:r w:rsidR="00624580">
        <w:rPr>
          <w:sz w:val="24"/>
          <w:szCs w:val="24"/>
        </w:rPr>
        <w:t>Monateri</w:t>
      </w:r>
      <w:r w:rsidR="007A6CBE">
        <w:rPr>
          <w:sz w:val="24"/>
          <w:szCs w:val="24"/>
        </w:rPr>
        <w:t>’s</w:t>
      </w:r>
      <w:proofErr w:type="spellEnd"/>
      <w:r w:rsidR="00624580">
        <w:rPr>
          <w:sz w:val="24"/>
          <w:szCs w:val="24"/>
        </w:rPr>
        <w:t xml:space="preserve"> </w:t>
      </w:r>
      <w:r w:rsidR="00624580">
        <w:rPr>
          <w:i/>
          <w:iCs/>
          <w:sz w:val="24"/>
          <w:szCs w:val="24"/>
        </w:rPr>
        <w:t>discontinuity</w:t>
      </w:r>
      <w:r w:rsidR="00624580">
        <w:rPr>
          <w:sz w:val="24"/>
          <w:szCs w:val="24"/>
        </w:rPr>
        <w:t xml:space="preserve"> paradigm of legal history</w:t>
      </w:r>
      <w:r w:rsidR="00577E1E">
        <w:rPr>
          <w:sz w:val="24"/>
          <w:szCs w:val="24"/>
        </w:rPr>
        <w:t>. A</w:t>
      </w:r>
      <w:r w:rsidR="00624580">
        <w:rPr>
          <w:sz w:val="24"/>
          <w:szCs w:val="24"/>
        </w:rPr>
        <w:t>ssuming the constructive nature of any historical interpretation,</w:t>
      </w:r>
      <w:r w:rsidR="00577E1E">
        <w:rPr>
          <w:sz w:val="24"/>
          <w:szCs w:val="24"/>
        </w:rPr>
        <w:t xml:space="preserve"> it is possible</w:t>
      </w:r>
      <w:r w:rsidR="000E22AC">
        <w:rPr>
          <w:sz w:val="24"/>
          <w:szCs w:val="24"/>
        </w:rPr>
        <w:t>, when accounting for a legal system’s evolution,</w:t>
      </w:r>
      <w:r w:rsidR="00577E1E">
        <w:rPr>
          <w:sz w:val="24"/>
          <w:szCs w:val="24"/>
        </w:rPr>
        <w:t xml:space="preserve"> to </w:t>
      </w:r>
      <w:proofErr w:type="spellStart"/>
      <w:r w:rsidR="00577E1E">
        <w:rPr>
          <w:sz w:val="24"/>
          <w:szCs w:val="24"/>
        </w:rPr>
        <w:t>emphasise</w:t>
      </w:r>
      <w:proofErr w:type="spellEnd"/>
      <w:r w:rsidR="00577E1E">
        <w:rPr>
          <w:sz w:val="24"/>
          <w:szCs w:val="24"/>
        </w:rPr>
        <w:t xml:space="preserve"> </w:t>
      </w:r>
      <w:r w:rsidR="001117D1">
        <w:rPr>
          <w:sz w:val="24"/>
          <w:szCs w:val="24"/>
        </w:rPr>
        <w:t xml:space="preserve">not only </w:t>
      </w:r>
      <w:r w:rsidR="00577E1E">
        <w:rPr>
          <w:sz w:val="24"/>
          <w:szCs w:val="24"/>
        </w:rPr>
        <w:t xml:space="preserve">aspects </w:t>
      </w:r>
      <w:r w:rsidR="001117D1">
        <w:rPr>
          <w:sz w:val="24"/>
          <w:szCs w:val="24"/>
        </w:rPr>
        <w:t xml:space="preserve">of harmonious evolution, but also those </w:t>
      </w:r>
      <w:r w:rsidR="007A6CBE">
        <w:rPr>
          <w:sz w:val="24"/>
          <w:szCs w:val="24"/>
        </w:rPr>
        <w:t xml:space="preserve">that </w:t>
      </w:r>
      <w:r w:rsidR="00577E1E">
        <w:rPr>
          <w:sz w:val="24"/>
          <w:szCs w:val="24"/>
        </w:rPr>
        <w:t>can be understood as a genuine rupture</w:t>
      </w:r>
      <w:r w:rsidR="001117D1">
        <w:rPr>
          <w:sz w:val="24"/>
          <w:szCs w:val="24"/>
        </w:rPr>
        <w:t xml:space="preserve"> with the past </w:t>
      </w:r>
      <w:r w:rsidR="001117D1">
        <w:rPr>
          <w:i/>
          <w:iCs/>
          <w:sz w:val="24"/>
          <w:szCs w:val="24"/>
        </w:rPr>
        <w:t>status quo</w:t>
      </w:r>
      <w:r w:rsidR="00577E1E">
        <w:rPr>
          <w:sz w:val="24"/>
          <w:szCs w:val="24"/>
        </w:rPr>
        <w:t>.</w:t>
      </w:r>
      <w:r w:rsidR="00BC015E">
        <w:rPr>
          <w:sz w:val="24"/>
          <w:szCs w:val="24"/>
        </w:rPr>
        <w:t xml:space="preserve"> </w:t>
      </w:r>
    </w:p>
    <w:p w14:paraId="2921CE41" w14:textId="17FA226D" w:rsidR="00577E1E" w:rsidRDefault="007A6CBE" w:rsidP="00B71C73">
      <w:p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577E1E">
        <w:rPr>
          <w:sz w:val="24"/>
          <w:szCs w:val="24"/>
        </w:rPr>
        <w:t xml:space="preserve">ny interpretation of </w:t>
      </w:r>
      <w:r w:rsidR="003572F4">
        <w:rPr>
          <w:sz w:val="24"/>
          <w:szCs w:val="24"/>
        </w:rPr>
        <w:t>the evolution of EU law is</w:t>
      </w:r>
      <w:r w:rsidR="001117D1">
        <w:rPr>
          <w:sz w:val="24"/>
          <w:szCs w:val="24"/>
        </w:rPr>
        <w:t xml:space="preserve"> therefore</w:t>
      </w:r>
      <w:r w:rsidR="003572F4">
        <w:rPr>
          <w:sz w:val="24"/>
          <w:szCs w:val="24"/>
        </w:rPr>
        <w:t xml:space="preserve"> bound to be a selective and positional exercise. </w:t>
      </w:r>
      <w:r>
        <w:rPr>
          <w:sz w:val="24"/>
          <w:szCs w:val="24"/>
        </w:rPr>
        <w:t>T</w:t>
      </w:r>
      <w:r w:rsidR="003572F4">
        <w:rPr>
          <w:sz w:val="24"/>
          <w:szCs w:val="24"/>
        </w:rPr>
        <w:t xml:space="preserve">he vision articulated throughout the Legal Service’s book offers a </w:t>
      </w:r>
      <w:r w:rsidR="00BC015E">
        <w:rPr>
          <w:sz w:val="24"/>
          <w:szCs w:val="24"/>
        </w:rPr>
        <w:t>robust and persuasive perspective on</w:t>
      </w:r>
      <w:r w:rsidR="003572F4">
        <w:rPr>
          <w:sz w:val="24"/>
          <w:szCs w:val="24"/>
        </w:rPr>
        <w:t xml:space="preserve"> EU law’s path</w:t>
      </w:r>
      <w:r w:rsidR="008E3BD8">
        <w:rPr>
          <w:sz w:val="24"/>
          <w:szCs w:val="24"/>
        </w:rPr>
        <w:t xml:space="preserve">. However, </w:t>
      </w:r>
      <w:r w:rsidR="003572F4">
        <w:rPr>
          <w:sz w:val="24"/>
          <w:szCs w:val="24"/>
        </w:rPr>
        <w:t>competing</w:t>
      </w:r>
      <w:r w:rsidR="00BC015E">
        <w:rPr>
          <w:sz w:val="24"/>
          <w:szCs w:val="24"/>
        </w:rPr>
        <w:t>, yet equally persuasive</w:t>
      </w:r>
      <w:r w:rsidR="003572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visions </w:t>
      </w:r>
      <w:r w:rsidR="003572F4">
        <w:rPr>
          <w:sz w:val="24"/>
          <w:szCs w:val="24"/>
        </w:rPr>
        <w:t>may exist and shed new light on the evolution of European integration.</w:t>
      </w:r>
    </w:p>
    <w:p w14:paraId="10F262BE" w14:textId="589E6C1A" w:rsidR="00337F9E" w:rsidRDefault="007A6CBE" w:rsidP="00D517DE">
      <w:p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To facilitate an exchange of such visions</w:t>
      </w:r>
      <w:r w:rsidR="00577E1E">
        <w:rPr>
          <w:sz w:val="24"/>
          <w:szCs w:val="24"/>
        </w:rPr>
        <w:t>, t</w:t>
      </w:r>
      <w:r w:rsidR="007F09DB">
        <w:rPr>
          <w:sz w:val="24"/>
          <w:szCs w:val="24"/>
        </w:rPr>
        <w:t>he Max Planck Institute for Comparative Public and International Law in Heidelberg</w:t>
      </w:r>
      <w:r w:rsidR="00B354B8">
        <w:rPr>
          <w:sz w:val="24"/>
          <w:szCs w:val="24"/>
        </w:rPr>
        <w:t xml:space="preserve"> (MPIL)</w:t>
      </w:r>
      <w:r w:rsidR="007F09DB">
        <w:rPr>
          <w:sz w:val="24"/>
          <w:szCs w:val="24"/>
        </w:rPr>
        <w:t xml:space="preserve"> wi</w:t>
      </w:r>
      <w:r w:rsidR="00624580">
        <w:rPr>
          <w:sz w:val="24"/>
          <w:szCs w:val="24"/>
        </w:rPr>
        <w:t xml:space="preserve">ll host a conference devoted to </w:t>
      </w:r>
      <w:r w:rsidR="00624580" w:rsidRPr="007F37AD">
        <w:rPr>
          <w:b/>
          <w:bCs/>
          <w:sz w:val="24"/>
          <w:szCs w:val="24"/>
        </w:rPr>
        <w:t xml:space="preserve">a discussion of the </w:t>
      </w:r>
      <w:r w:rsidR="00FE7D87" w:rsidRPr="007F37AD">
        <w:rPr>
          <w:b/>
          <w:bCs/>
          <w:sz w:val="24"/>
          <w:szCs w:val="24"/>
        </w:rPr>
        <w:t>Legal Service</w:t>
      </w:r>
      <w:r w:rsidR="00624580" w:rsidRPr="007F37AD">
        <w:rPr>
          <w:b/>
          <w:bCs/>
          <w:sz w:val="24"/>
          <w:szCs w:val="24"/>
        </w:rPr>
        <w:t>’s book</w:t>
      </w:r>
      <w:r w:rsidR="00BE7742">
        <w:rPr>
          <w:b/>
          <w:bCs/>
          <w:sz w:val="24"/>
          <w:szCs w:val="24"/>
        </w:rPr>
        <w:t xml:space="preserve"> with members of the </w:t>
      </w:r>
      <w:r>
        <w:rPr>
          <w:b/>
          <w:bCs/>
          <w:sz w:val="24"/>
          <w:szCs w:val="24"/>
        </w:rPr>
        <w:t xml:space="preserve">Commission’s </w:t>
      </w:r>
      <w:r w:rsidR="00BE7742">
        <w:rPr>
          <w:b/>
          <w:bCs/>
          <w:sz w:val="24"/>
          <w:szCs w:val="24"/>
        </w:rPr>
        <w:t>Legal Service</w:t>
      </w:r>
      <w:r w:rsidR="00624580">
        <w:rPr>
          <w:sz w:val="24"/>
          <w:szCs w:val="24"/>
        </w:rPr>
        <w:t>.</w:t>
      </w:r>
      <w:r w:rsidR="007F37AD">
        <w:rPr>
          <w:sz w:val="24"/>
          <w:szCs w:val="24"/>
        </w:rPr>
        <w:t xml:space="preserve"> </w:t>
      </w:r>
      <w:r w:rsidR="00323611">
        <w:rPr>
          <w:sz w:val="24"/>
          <w:szCs w:val="24"/>
        </w:rPr>
        <w:t xml:space="preserve"> </w:t>
      </w:r>
      <w:r w:rsidR="00B354B8">
        <w:rPr>
          <w:sz w:val="24"/>
          <w:szCs w:val="24"/>
        </w:rPr>
        <w:t xml:space="preserve">The conference will be held in-person, </w:t>
      </w:r>
      <w:r w:rsidR="00B354B8" w:rsidRPr="00B354B8">
        <w:rPr>
          <w:b/>
          <w:bCs/>
          <w:sz w:val="24"/>
          <w:szCs w:val="24"/>
        </w:rPr>
        <w:t xml:space="preserve">from Thursday, </w:t>
      </w:r>
      <w:r w:rsidR="00337F9E" w:rsidRPr="00B354B8">
        <w:rPr>
          <w:b/>
          <w:bCs/>
          <w:sz w:val="24"/>
          <w:szCs w:val="24"/>
        </w:rPr>
        <w:t>1</w:t>
      </w:r>
      <w:r w:rsidR="00337F9E" w:rsidRPr="00B354B8">
        <w:rPr>
          <w:b/>
          <w:bCs/>
          <w:sz w:val="24"/>
          <w:szCs w:val="24"/>
          <w:vertAlign w:val="superscript"/>
        </w:rPr>
        <w:t>st</w:t>
      </w:r>
      <w:r w:rsidR="00337F9E" w:rsidRPr="00B354B8">
        <w:rPr>
          <w:b/>
          <w:bCs/>
          <w:sz w:val="24"/>
          <w:szCs w:val="24"/>
        </w:rPr>
        <w:t xml:space="preserve"> February 2024 </w:t>
      </w:r>
      <w:r w:rsidR="00B354B8" w:rsidRPr="00B354B8">
        <w:rPr>
          <w:b/>
          <w:bCs/>
          <w:sz w:val="24"/>
          <w:szCs w:val="24"/>
        </w:rPr>
        <w:t>to</w:t>
      </w:r>
      <w:r w:rsidR="00337F9E" w:rsidRPr="00B354B8">
        <w:rPr>
          <w:b/>
          <w:bCs/>
          <w:sz w:val="24"/>
          <w:szCs w:val="24"/>
        </w:rPr>
        <w:t xml:space="preserve"> Saturday, 3</w:t>
      </w:r>
      <w:r w:rsidR="00337F9E" w:rsidRPr="00B354B8">
        <w:rPr>
          <w:b/>
          <w:bCs/>
          <w:sz w:val="24"/>
          <w:szCs w:val="24"/>
          <w:vertAlign w:val="superscript"/>
        </w:rPr>
        <w:t>rd</w:t>
      </w:r>
      <w:r w:rsidR="00337F9E" w:rsidRPr="00B354B8">
        <w:rPr>
          <w:b/>
          <w:bCs/>
          <w:sz w:val="24"/>
          <w:szCs w:val="24"/>
        </w:rPr>
        <w:t xml:space="preserve"> February 2024</w:t>
      </w:r>
      <w:r w:rsidR="00B354B8" w:rsidRPr="00B354B8">
        <w:rPr>
          <w:b/>
          <w:bCs/>
          <w:sz w:val="24"/>
          <w:szCs w:val="24"/>
        </w:rPr>
        <w:t xml:space="preserve">, in the premises of the </w:t>
      </w:r>
      <w:r w:rsidR="00B354B8">
        <w:rPr>
          <w:b/>
          <w:bCs/>
          <w:sz w:val="24"/>
          <w:szCs w:val="24"/>
        </w:rPr>
        <w:t>MPIL</w:t>
      </w:r>
      <w:r w:rsidR="00B354B8">
        <w:rPr>
          <w:sz w:val="24"/>
          <w:szCs w:val="24"/>
        </w:rPr>
        <w:t xml:space="preserve"> in Heidelberg (Germany).</w:t>
      </w:r>
      <w:r w:rsidR="00D517DE">
        <w:rPr>
          <w:sz w:val="24"/>
          <w:szCs w:val="24"/>
        </w:rPr>
        <w:t xml:space="preserve"> </w:t>
      </w:r>
      <w:r w:rsidR="00BE7742" w:rsidRPr="00BE7742">
        <w:rPr>
          <w:sz w:val="24"/>
          <w:szCs w:val="24"/>
        </w:rPr>
        <w:t>T</w:t>
      </w:r>
      <w:r w:rsidR="00FC20C8" w:rsidRPr="000F64ED">
        <w:rPr>
          <w:bCs/>
          <w:sz w:val="24"/>
          <w:szCs w:val="24"/>
        </w:rPr>
        <w:t>he present call is</w:t>
      </w:r>
      <w:r w:rsidR="000E22AC">
        <w:rPr>
          <w:bCs/>
          <w:sz w:val="24"/>
          <w:szCs w:val="24"/>
        </w:rPr>
        <w:t xml:space="preserve"> </w:t>
      </w:r>
      <w:r w:rsidR="00FC20C8" w:rsidRPr="000F64ED">
        <w:rPr>
          <w:bCs/>
          <w:sz w:val="24"/>
          <w:szCs w:val="24"/>
        </w:rPr>
        <w:t xml:space="preserve">addressed to </w:t>
      </w:r>
      <w:r w:rsidR="00BE7742" w:rsidRPr="000F64ED">
        <w:rPr>
          <w:bCs/>
          <w:sz w:val="24"/>
          <w:szCs w:val="24"/>
        </w:rPr>
        <w:t>scholars at all stages</w:t>
      </w:r>
      <w:r w:rsidR="000E22AC">
        <w:rPr>
          <w:bCs/>
          <w:sz w:val="24"/>
          <w:szCs w:val="24"/>
        </w:rPr>
        <w:t xml:space="preserve"> of their career</w:t>
      </w:r>
      <w:r w:rsidR="00BE7742" w:rsidRPr="000F64ED">
        <w:rPr>
          <w:bCs/>
          <w:sz w:val="24"/>
          <w:szCs w:val="24"/>
        </w:rPr>
        <w:t>, including</w:t>
      </w:r>
      <w:r w:rsidR="000E22AC">
        <w:rPr>
          <w:bCs/>
          <w:sz w:val="24"/>
          <w:szCs w:val="24"/>
        </w:rPr>
        <w:t xml:space="preserve"> </w:t>
      </w:r>
      <w:r w:rsidR="00FC20C8" w:rsidRPr="00FC20C8">
        <w:rPr>
          <w:b/>
          <w:bCs/>
          <w:sz w:val="24"/>
          <w:szCs w:val="24"/>
        </w:rPr>
        <w:t>early-career researchers</w:t>
      </w:r>
      <w:r w:rsidR="00FC20C8">
        <w:rPr>
          <w:sz w:val="24"/>
          <w:szCs w:val="24"/>
        </w:rPr>
        <w:t xml:space="preserve"> (Ph.D. </w:t>
      </w:r>
      <w:r w:rsidR="00B354B8">
        <w:rPr>
          <w:sz w:val="24"/>
          <w:szCs w:val="24"/>
        </w:rPr>
        <w:t>candidates</w:t>
      </w:r>
      <w:r w:rsidR="00FC20C8">
        <w:rPr>
          <w:sz w:val="24"/>
          <w:szCs w:val="24"/>
        </w:rPr>
        <w:t xml:space="preserve"> and Post-docs).</w:t>
      </w:r>
      <w:r w:rsidR="00B71C73">
        <w:rPr>
          <w:sz w:val="24"/>
          <w:szCs w:val="24"/>
        </w:rPr>
        <w:t xml:space="preserve"> </w:t>
      </w:r>
    </w:p>
    <w:p w14:paraId="3DC2BF4E" w14:textId="31B9863F" w:rsidR="00FC20C8" w:rsidRDefault="00FC20C8" w:rsidP="00B71C73">
      <w:pPr>
        <w:spacing w:before="240"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Interested researchers are invited to submit</w:t>
      </w:r>
      <w:r w:rsidR="00B354B8">
        <w:rPr>
          <w:sz w:val="24"/>
          <w:szCs w:val="24"/>
        </w:rPr>
        <w:t>,</w:t>
      </w:r>
      <w:r>
        <w:rPr>
          <w:sz w:val="24"/>
          <w:szCs w:val="24"/>
        </w:rPr>
        <w:t xml:space="preserve"> via email to Paolo Mazzotti (</w:t>
      </w:r>
      <w:hyperlink r:id="rId10" w:history="1">
        <w:r w:rsidRPr="00EF24B4">
          <w:rPr>
            <w:rStyle w:val="Hyperlink"/>
            <w:sz w:val="24"/>
            <w:szCs w:val="24"/>
          </w:rPr>
          <w:t>mazzotti@mpil.de</w:t>
        </w:r>
      </w:hyperlink>
      <w:r>
        <w:rPr>
          <w:sz w:val="24"/>
          <w:szCs w:val="24"/>
        </w:rPr>
        <w:t xml:space="preserve">), the following documents </w:t>
      </w:r>
      <w:r w:rsidRPr="00FC20C8">
        <w:rPr>
          <w:b/>
          <w:bCs/>
          <w:sz w:val="24"/>
          <w:szCs w:val="24"/>
        </w:rPr>
        <w:t xml:space="preserve">by </w:t>
      </w:r>
      <w:r w:rsidR="001117D1">
        <w:rPr>
          <w:b/>
          <w:bCs/>
          <w:sz w:val="24"/>
          <w:szCs w:val="24"/>
        </w:rPr>
        <w:t>8</w:t>
      </w:r>
      <w:r w:rsidR="001117D1" w:rsidRPr="00124951">
        <w:rPr>
          <w:b/>
          <w:bCs/>
          <w:sz w:val="24"/>
          <w:szCs w:val="24"/>
          <w:vertAlign w:val="superscript"/>
        </w:rPr>
        <w:t>th</w:t>
      </w:r>
      <w:r w:rsidR="001117D1">
        <w:rPr>
          <w:b/>
          <w:bCs/>
          <w:sz w:val="24"/>
          <w:szCs w:val="24"/>
        </w:rPr>
        <w:t xml:space="preserve"> October</w:t>
      </w:r>
      <w:r w:rsidRPr="00FC20C8">
        <w:rPr>
          <w:b/>
          <w:bCs/>
          <w:sz w:val="24"/>
          <w:szCs w:val="24"/>
        </w:rPr>
        <w:t xml:space="preserve"> 2023 at 23:59 (CEST)</w:t>
      </w:r>
      <w:r>
        <w:rPr>
          <w:b/>
          <w:bCs/>
          <w:sz w:val="24"/>
          <w:szCs w:val="24"/>
        </w:rPr>
        <w:t>:</w:t>
      </w:r>
    </w:p>
    <w:p w14:paraId="7331FA96" w14:textId="77777777" w:rsidR="00FC20C8" w:rsidRDefault="00FC20C8" w:rsidP="00FC20C8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An abstract of up to 500 words;</w:t>
      </w:r>
    </w:p>
    <w:p w14:paraId="5F6731DE" w14:textId="77777777" w:rsidR="00FC20C8" w:rsidRDefault="00FC20C8" w:rsidP="00FC20C8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B71C73">
        <w:rPr>
          <w:sz w:val="24"/>
          <w:szCs w:val="24"/>
        </w:rPr>
        <w:t>short</w:t>
      </w:r>
      <w:r>
        <w:rPr>
          <w:sz w:val="24"/>
          <w:szCs w:val="24"/>
        </w:rPr>
        <w:t xml:space="preserve"> CV</w:t>
      </w:r>
      <w:r w:rsidR="00B71C73">
        <w:rPr>
          <w:sz w:val="24"/>
          <w:szCs w:val="24"/>
        </w:rPr>
        <w:t xml:space="preserve"> (max 2 pages);</w:t>
      </w:r>
    </w:p>
    <w:p w14:paraId="14F108B6" w14:textId="77777777" w:rsidR="00FC20C8" w:rsidRDefault="00FC20C8" w:rsidP="00FC20C8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 list of relevant publications (if applicable).</w:t>
      </w:r>
    </w:p>
    <w:p w14:paraId="7DE7F9A4" w14:textId="77777777" w:rsidR="006510CB" w:rsidRDefault="008E3BD8" w:rsidP="00B71C73">
      <w:p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7F37AD">
        <w:rPr>
          <w:sz w:val="24"/>
          <w:szCs w:val="24"/>
        </w:rPr>
        <w:t>ubmitted abstracts</w:t>
      </w:r>
      <w:r w:rsidR="00B71C73">
        <w:rPr>
          <w:sz w:val="24"/>
          <w:szCs w:val="24"/>
        </w:rPr>
        <w:t xml:space="preserve"> </w:t>
      </w:r>
      <w:r w:rsidR="007F37AD">
        <w:rPr>
          <w:sz w:val="24"/>
          <w:szCs w:val="24"/>
        </w:rPr>
        <w:t xml:space="preserve">should </w:t>
      </w:r>
      <w:r w:rsidR="006510CB">
        <w:rPr>
          <w:sz w:val="24"/>
          <w:szCs w:val="24"/>
        </w:rPr>
        <w:t>adopt one of two perspectives:</w:t>
      </w:r>
    </w:p>
    <w:p w14:paraId="47610C60" w14:textId="77777777" w:rsidR="006510CB" w:rsidRDefault="006510CB" w:rsidP="006510CB">
      <w:pPr>
        <w:pStyle w:val="ListParagraph"/>
        <w:numPr>
          <w:ilvl w:val="0"/>
          <w:numId w:val="3"/>
        </w:num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A reflection on the overall approach of the book, on the interpretive paradigms underlying it, and</w:t>
      </w:r>
      <w:r w:rsidR="000E22AC">
        <w:rPr>
          <w:sz w:val="24"/>
          <w:szCs w:val="24"/>
        </w:rPr>
        <w:t>/or</w:t>
      </w:r>
      <w:r>
        <w:rPr>
          <w:sz w:val="24"/>
          <w:szCs w:val="24"/>
        </w:rPr>
        <w:t xml:space="preserve"> on the choice of the topics </w:t>
      </w:r>
      <w:r w:rsidR="00982902">
        <w:rPr>
          <w:sz w:val="24"/>
          <w:szCs w:val="24"/>
        </w:rPr>
        <w:t>covered</w:t>
      </w:r>
      <w:r>
        <w:rPr>
          <w:sz w:val="24"/>
          <w:szCs w:val="24"/>
        </w:rPr>
        <w:t xml:space="preserve"> therein; or</w:t>
      </w:r>
    </w:p>
    <w:p w14:paraId="7124AC31" w14:textId="77777777" w:rsidR="006510CB" w:rsidRDefault="006510CB" w:rsidP="006510CB">
      <w:pPr>
        <w:pStyle w:val="ListParagraph"/>
        <w:numPr>
          <w:ilvl w:val="0"/>
          <w:numId w:val="3"/>
        </w:num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 reflection on a specific chapter of the book, addressing the topic(s) included therein from </w:t>
      </w:r>
      <w:r w:rsidR="00B354B8" w:rsidRPr="006510CB">
        <w:rPr>
          <w:sz w:val="24"/>
          <w:szCs w:val="24"/>
        </w:rPr>
        <w:t>a diachronic perspective</w:t>
      </w:r>
      <w:r>
        <w:rPr>
          <w:sz w:val="24"/>
          <w:szCs w:val="24"/>
        </w:rPr>
        <w:t>.</w:t>
      </w:r>
      <w:r w:rsidR="00323611" w:rsidRPr="006510CB">
        <w:rPr>
          <w:sz w:val="24"/>
          <w:szCs w:val="24"/>
        </w:rPr>
        <w:t xml:space="preserve"> </w:t>
      </w:r>
    </w:p>
    <w:p w14:paraId="26EED488" w14:textId="2C62D090" w:rsidR="00B71C73" w:rsidRPr="006510CB" w:rsidRDefault="00BE7742" w:rsidP="006510CB">
      <w:p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6510CB">
        <w:rPr>
          <w:sz w:val="24"/>
          <w:szCs w:val="24"/>
        </w:rPr>
        <w:t>ubmitted abstracts should specify to which of the two categories the proposed contribution belongs</w:t>
      </w:r>
      <w:r w:rsidR="008E3BD8">
        <w:rPr>
          <w:sz w:val="24"/>
          <w:szCs w:val="24"/>
        </w:rPr>
        <w:t xml:space="preserve"> (</w:t>
      </w:r>
      <w:r w:rsidR="00D517DE">
        <w:rPr>
          <w:sz w:val="24"/>
          <w:szCs w:val="24"/>
        </w:rPr>
        <w:t>and</w:t>
      </w:r>
      <w:r w:rsidR="00982902">
        <w:rPr>
          <w:sz w:val="24"/>
          <w:szCs w:val="24"/>
        </w:rPr>
        <w:t xml:space="preserve">, for proposals </w:t>
      </w:r>
      <w:r w:rsidR="00D517DE">
        <w:rPr>
          <w:sz w:val="24"/>
          <w:szCs w:val="24"/>
        </w:rPr>
        <w:t>for</w:t>
      </w:r>
      <w:r w:rsidR="00982902">
        <w:rPr>
          <w:sz w:val="24"/>
          <w:szCs w:val="24"/>
        </w:rPr>
        <w:t xml:space="preserve"> category (b),</w:t>
      </w:r>
      <w:r w:rsidR="006510CB">
        <w:rPr>
          <w:sz w:val="24"/>
          <w:szCs w:val="24"/>
        </w:rPr>
        <w:t xml:space="preserve"> which chapter </w:t>
      </w:r>
      <w:r w:rsidR="00982902">
        <w:rPr>
          <w:sz w:val="24"/>
          <w:szCs w:val="24"/>
        </w:rPr>
        <w:t xml:space="preserve">of the book </w:t>
      </w:r>
      <w:r w:rsidR="006510CB">
        <w:rPr>
          <w:sz w:val="24"/>
          <w:szCs w:val="24"/>
        </w:rPr>
        <w:t xml:space="preserve">the </w:t>
      </w:r>
      <w:r w:rsidR="006510CB">
        <w:rPr>
          <w:sz w:val="24"/>
          <w:szCs w:val="24"/>
        </w:rPr>
        <w:lastRenderedPageBreak/>
        <w:t>proposed contribution specifically addresses</w:t>
      </w:r>
      <w:r w:rsidR="008E3BD8">
        <w:rPr>
          <w:sz w:val="24"/>
          <w:szCs w:val="24"/>
        </w:rPr>
        <w:t>)</w:t>
      </w:r>
      <w:r w:rsidR="00982902">
        <w:rPr>
          <w:sz w:val="24"/>
          <w:szCs w:val="24"/>
        </w:rPr>
        <w:t xml:space="preserve">. </w:t>
      </w:r>
      <w:r w:rsidR="00D517DE">
        <w:rPr>
          <w:sz w:val="24"/>
          <w:szCs w:val="24"/>
        </w:rPr>
        <w:t>E</w:t>
      </w:r>
      <w:r w:rsidR="006510CB">
        <w:rPr>
          <w:sz w:val="24"/>
          <w:szCs w:val="24"/>
        </w:rPr>
        <w:t xml:space="preserve">mphasis should be placed </w:t>
      </w:r>
      <w:r w:rsidR="006510CB" w:rsidRPr="006510CB">
        <w:rPr>
          <w:sz w:val="24"/>
          <w:szCs w:val="24"/>
        </w:rPr>
        <w:t>on complementary</w:t>
      </w:r>
      <w:r>
        <w:rPr>
          <w:sz w:val="24"/>
          <w:szCs w:val="24"/>
        </w:rPr>
        <w:t xml:space="preserve">, </w:t>
      </w:r>
      <w:r w:rsidR="006510CB" w:rsidRPr="006510CB">
        <w:rPr>
          <w:sz w:val="24"/>
          <w:szCs w:val="24"/>
        </w:rPr>
        <w:t>alternative</w:t>
      </w:r>
      <w:r w:rsidR="00616C95">
        <w:rPr>
          <w:sz w:val="24"/>
          <w:szCs w:val="24"/>
        </w:rPr>
        <w:t>,</w:t>
      </w:r>
      <w:r w:rsidR="006510CB" w:rsidRPr="006510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 w:rsidR="006510CB" w:rsidRPr="006510CB">
        <w:rPr>
          <w:sz w:val="24"/>
          <w:szCs w:val="24"/>
        </w:rPr>
        <w:t>missing perspectives in accounting for the evolution of EU law</w:t>
      </w:r>
      <w:r w:rsidR="006510CB">
        <w:rPr>
          <w:sz w:val="24"/>
          <w:szCs w:val="24"/>
        </w:rPr>
        <w:t>. T</w:t>
      </w:r>
      <w:r w:rsidR="00323611" w:rsidRPr="006510CB">
        <w:rPr>
          <w:sz w:val="24"/>
          <w:szCs w:val="24"/>
        </w:rPr>
        <w:t>heoretically</w:t>
      </w:r>
      <w:r w:rsidR="001117D1">
        <w:rPr>
          <w:sz w:val="24"/>
          <w:szCs w:val="24"/>
        </w:rPr>
        <w:t xml:space="preserve"> </w:t>
      </w:r>
      <w:r w:rsidR="00323611" w:rsidRPr="006510CB">
        <w:rPr>
          <w:sz w:val="24"/>
          <w:szCs w:val="24"/>
        </w:rPr>
        <w:t xml:space="preserve">informed contributions are </w:t>
      </w:r>
      <w:r w:rsidR="001117D1">
        <w:rPr>
          <w:sz w:val="24"/>
          <w:szCs w:val="24"/>
        </w:rPr>
        <w:t xml:space="preserve">particularly </w:t>
      </w:r>
      <w:r w:rsidR="00323611" w:rsidRPr="006510CB">
        <w:rPr>
          <w:sz w:val="24"/>
          <w:szCs w:val="24"/>
        </w:rPr>
        <w:t>welcome.</w:t>
      </w:r>
    </w:p>
    <w:p w14:paraId="335C1B48" w14:textId="77777777" w:rsidR="00B71C73" w:rsidRDefault="00B71C73" w:rsidP="00B71C73">
      <w:p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Successful applicants will be notified by the end of October 2023.</w:t>
      </w:r>
    </w:p>
    <w:p w14:paraId="6F8F63A2" w14:textId="1E519BF3" w:rsidR="00B71C73" w:rsidRPr="00B71C73" w:rsidRDefault="00B71C73" w:rsidP="00B71C73">
      <w:p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Selected researchers </w:t>
      </w:r>
      <w:r w:rsidR="00D517DE">
        <w:rPr>
          <w:sz w:val="24"/>
          <w:szCs w:val="24"/>
        </w:rPr>
        <w:t xml:space="preserve">should </w:t>
      </w:r>
      <w:r>
        <w:rPr>
          <w:sz w:val="24"/>
          <w:szCs w:val="24"/>
        </w:rPr>
        <w:t xml:space="preserve">submit a </w:t>
      </w:r>
      <w:r w:rsidRPr="00B71C73">
        <w:rPr>
          <w:b/>
          <w:bCs/>
          <w:sz w:val="24"/>
          <w:szCs w:val="24"/>
        </w:rPr>
        <w:t>first draft</w:t>
      </w:r>
      <w:r>
        <w:rPr>
          <w:sz w:val="24"/>
          <w:szCs w:val="24"/>
        </w:rPr>
        <w:t xml:space="preserve"> of their paper (up to </w:t>
      </w:r>
      <w:r w:rsidR="000F64ED">
        <w:rPr>
          <w:b/>
          <w:bCs/>
          <w:sz w:val="24"/>
          <w:szCs w:val="24"/>
        </w:rPr>
        <w:t>5</w:t>
      </w:r>
      <w:r w:rsidRPr="00B71C73">
        <w:rPr>
          <w:b/>
          <w:bCs/>
          <w:sz w:val="24"/>
          <w:szCs w:val="24"/>
        </w:rPr>
        <w:t>.000 words, excluding footnotes</w:t>
      </w:r>
      <w:r w:rsidRPr="00B71C73">
        <w:rPr>
          <w:sz w:val="24"/>
          <w:szCs w:val="24"/>
        </w:rPr>
        <w:t>) by</w:t>
      </w:r>
      <w:r w:rsidRPr="00B71C7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15</w:t>
      </w:r>
      <w:r w:rsidRPr="00B71C73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January</w:t>
      </w:r>
      <w:r w:rsidRPr="00B71C73">
        <w:rPr>
          <w:b/>
          <w:bCs/>
          <w:sz w:val="24"/>
          <w:szCs w:val="24"/>
        </w:rPr>
        <w:t xml:space="preserve"> 202</w:t>
      </w:r>
      <w:r w:rsidR="00323611">
        <w:rPr>
          <w:b/>
          <w:bCs/>
          <w:sz w:val="24"/>
          <w:szCs w:val="24"/>
        </w:rPr>
        <w:t>4</w:t>
      </w:r>
      <w:r w:rsidRPr="00B71C73">
        <w:rPr>
          <w:b/>
          <w:bCs/>
          <w:sz w:val="24"/>
          <w:szCs w:val="24"/>
        </w:rPr>
        <w:t xml:space="preserve"> at 23:59 (CEST).</w:t>
      </w:r>
      <w:r>
        <w:rPr>
          <w:sz w:val="24"/>
          <w:szCs w:val="24"/>
        </w:rPr>
        <w:t xml:space="preserve"> The conference committee </w:t>
      </w:r>
      <w:r w:rsidR="001E61F5">
        <w:rPr>
          <w:sz w:val="24"/>
          <w:szCs w:val="24"/>
        </w:rPr>
        <w:t xml:space="preserve">plans </w:t>
      </w:r>
      <w:r>
        <w:rPr>
          <w:sz w:val="24"/>
          <w:szCs w:val="24"/>
        </w:rPr>
        <w:t xml:space="preserve">to publish </w:t>
      </w:r>
      <w:r w:rsidR="00D517DE">
        <w:rPr>
          <w:sz w:val="24"/>
          <w:szCs w:val="24"/>
        </w:rPr>
        <w:t xml:space="preserve">the </w:t>
      </w:r>
      <w:r>
        <w:rPr>
          <w:sz w:val="24"/>
          <w:szCs w:val="24"/>
        </w:rPr>
        <w:t>papers in an edited collection</w:t>
      </w:r>
      <w:r w:rsidR="00B354B8">
        <w:rPr>
          <w:sz w:val="24"/>
          <w:szCs w:val="24"/>
        </w:rPr>
        <w:t>,</w:t>
      </w:r>
      <w:r>
        <w:rPr>
          <w:sz w:val="24"/>
          <w:szCs w:val="24"/>
        </w:rPr>
        <w:t xml:space="preserve"> or in a special issue of an international journal.</w:t>
      </w:r>
      <w:r w:rsidR="000E22AC">
        <w:rPr>
          <w:sz w:val="24"/>
          <w:szCs w:val="24"/>
        </w:rPr>
        <w:t xml:space="preserve"> The final version of the papers, to be submitted at a later stage, will be expected not to exceed 8.000 words (excluding footnotes).</w:t>
      </w:r>
    </w:p>
    <w:p w14:paraId="6AEE2CD1" w14:textId="3BD88614" w:rsidR="00FC20C8" w:rsidRDefault="00323611" w:rsidP="00FC20C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 MPIL will cover travel and accommodation expenses for all selected </w:t>
      </w:r>
      <w:r w:rsidR="000E22AC">
        <w:rPr>
          <w:sz w:val="24"/>
          <w:szCs w:val="24"/>
        </w:rPr>
        <w:t>speakers</w:t>
      </w:r>
      <w:r>
        <w:rPr>
          <w:sz w:val="24"/>
          <w:szCs w:val="24"/>
        </w:rPr>
        <w:t>.</w:t>
      </w:r>
    </w:p>
    <w:p w14:paraId="4E3A4E94" w14:textId="77777777" w:rsidR="00982902" w:rsidRDefault="00982902" w:rsidP="00323611">
      <w:pPr>
        <w:spacing w:line="360" w:lineRule="auto"/>
        <w:jc w:val="left"/>
        <w:rPr>
          <w:sz w:val="24"/>
          <w:szCs w:val="24"/>
        </w:rPr>
      </w:pPr>
    </w:p>
    <w:p w14:paraId="2DE558F6" w14:textId="77777777" w:rsidR="00323611" w:rsidRDefault="00323611" w:rsidP="00323611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Conveners:</w:t>
      </w:r>
    </w:p>
    <w:p w14:paraId="52929CFF" w14:textId="77777777" w:rsidR="00323611" w:rsidRDefault="00323611" w:rsidP="00323611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Prof. Dr. Armin von Bogdandy</w:t>
      </w:r>
      <w:r w:rsidR="00982902">
        <w:rPr>
          <w:sz w:val="24"/>
          <w:szCs w:val="24"/>
        </w:rPr>
        <w:t xml:space="preserve"> (MPIL)</w:t>
      </w:r>
    </w:p>
    <w:p w14:paraId="5D9DD55A" w14:textId="77777777" w:rsidR="00323611" w:rsidRDefault="00323611" w:rsidP="00323611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Prof. Dr. Clemens Ladenburger</w:t>
      </w:r>
      <w:r w:rsidR="00982902">
        <w:rPr>
          <w:sz w:val="24"/>
          <w:szCs w:val="24"/>
        </w:rPr>
        <w:t xml:space="preserve"> (European Commission’s Legal Service; Europa-</w:t>
      </w:r>
      <w:proofErr w:type="spellStart"/>
      <w:r w:rsidR="00982902">
        <w:rPr>
          <w:sz w:val="24"/>
          <w:szCs w:val="24"/>
        </w:rPr>
        <w:t>Institut</w:t>
      </w:r>
      <w:proofErr w:type="spellEnd"/>
      <w:r w:rsidR="00982902">
        <w:rPr>
          <w:sz w:val="24"/>
          <w:szCs w:val="24"/>
        </w:rPr>
        <w:t xml:space="preserve">, Universität des </w:t>
      </w:r>
      <w:proofErr w:type="spellStart"/>
      <w:r w:rsidR="00982902">
        <w:rPr>
          <w:sz w:val="24"/>
          <w:szCs w:val="24"/>
        </w:rPr>
        <w:t>Saarlandes</w:t>
      </w:r>
      <w:proofErr w:type="spellEnd"/>
      <w:r w:rsidR="00982902">
        <w:rPr>
          <w:sz w:val="24"/>
          <w:szCs w:val="24"/>
        </w:rPr>
        <w:t>)</w:t>
      </w:r>
    </w:p>
    <w:p w14:paraId="0B0EBB0F" w14:textId="77777777" w:rsidR="00323611" w:rsidRPr="00FC20C8" w:rsidRDefault="00323611" w:rsidP="00323611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Paolo Mazzotti</w:t>
      </w:r>
      <w:r w:rsidR="00982902">
        <w:rPr>
          <w:sz w:val="24"/>
          <w:szCs w:val="24"/>
        </w:rPr>
        <w:t xml:space="preserve"> (MPIL)</w:t>
      </w:r>
    </w:p>
    <w:p w14:paraId="4F2AEE5D" w14:textId="77777777" w:rsidR="00337F9E" w:rsidRPr="00803297" w:rsidRDefault="00337F9E" w:rsidP="00803297">
      <w:pPr>
        <w:spacing w:line="360" w:lineRule="auto"/>
        <w:rPr>
          <w:sz w:val="24"/>
          <w:szCs w:val="24"/>
        </w:rPr>
      </w:pPr>
    </w:p>
    <w:sectPr w:rsidR="00337F9E" w:rsidRPr="00803297" w:rsidSect="000670C2">
      <w:footerReference w:type="defaul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D290ED2" w16cex:dateUtc="2023-09-01T17:41:00Z"/>
  <w16cex:commentExtensible w16cex:durableId="6E62DCF6" w16cex:dateUtc="2023-09-01T17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11872" w14:textId="77777777" w:rsidR="009C7D8B" w:rsidRDefault="009C7D8B" w:rsidP="00337F9E">
      <w:pPr>
        <w:spacing w:after="0"/>
      </w:pPr>
      <w:r>
        <w:separator/>
      </w:r>
    </w:p>
  </w:endnote>
  <w:endnote w:type="continuationSeparator" w:id="0">
    <w:p w14:paraId="6C0F5244" w14:textId="77777777" w:rsidR="009C7D8B" w:rsidRDefault="009C7D8B" w:rsidP="00337F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empelGaramond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lassGarmnd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6822400"/>
      <w:docPartObj>
        <w:docPartGallery w:val="Page Numbers (Bottom of Page)"/>
        <w:docPartUnique/>
      </w:docPartObj>
    </w:sdtPr>
    <w:sdtEndPr/>
    <w:sdtContent>
      <w:p w14:paraId="4E07309C" w14:textId="77777777" w:rsidR="00337F9E" w:rsidRDefault="00337F9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04E09CBA" w14:textId="77777777" w:rsidR="00337F9E" w:rsidRDefault="00337F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FC18E" w14:textId="77777777" w:rsidR="009C7D8B" w:rsidRDefault="009C7D8B" w:rsidP="00337F9E">
      <w:pPr>
        <w:spacing w:after="0"/>
      </w:pPr>
      <w:r>
        <w:separator/>
      </w:r>
    </w:p>
  </w:footnote>
  <w:footnote w:type="continuationSeparator" w:id="0">
    <w:p w14:paraId="4CF083C6" w14:textId="77777777" w:rsidR="009C7D8B" w:rsidRDefault="009C7D8B" w:rsidP="00337F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C31B9"/>
    <w:multiLevelType w:val="hybridMultilevel"/>
    <w:tmpl w:val="D910F83E"/>
    <w:lvl w:ilvl="0" w:tplc="1F0C7B5C">
      <w:numFmt w:val="bullet"/>
      <w:lvlText w:val="-"/>
      <w:lvlJc w:val="left"/>
      <w:pPr>
        <w:ind w:left="720" w:hanging="360"/>
      </w:pPr>
      <w:rPr>
        <w:rFonts w:ascii="StempelGaramond Roman" w:eastAsiaTheme="minorHAnsi" w:hAnsi="StempelGaramond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102BB"/>
    <w:multiLevelType w:val="hybridMultilevel"/>
    <w:tmpl w:val="3BEE6C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A042B"/>
    <w:multiLevelType w:val="hybridMultilevel"/>
    <w:tmpl w:val="8A2E76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CB14F01-F74B-4DC8-86E7-BA7FFD4B778D}"/>
    <w:docVar w:name="dgnword-eventsink" w:val="1960551072432"/>
  </w:docVars>
  <w:rsids>
    <w:rsidRoot w:val="000670C2"/>
    <w:rsid w:val="000670C2"/>
    <w:rsid w:val="000E22AC"/>
    <w:rsid w:val="000F64ED"/>
    <w:rsid w:val="001117D1"/>
    <w:rsid w:val="00124951"/>
    <w:rsid w:val="001E61F5"/>
    <w:rsid w:val="001F0F60"/>
    <w:rsid w:val="00245BFB"/>
    <w:rsid w:val="0028532B"/>
    <w:rsid w:val="00323611"/>
    <w:rsid w:val="00330AC1"/>
    <w:rsid w:val="00337F9E"/>
    <w:rsid w:val="003572F4"/>
    <w:rsid w:val="00375956"/>
    <w:rsid w:val="003C3993"/>
    <w:rsid w:val="00444154"/>
    <w:rsid w:val="004457D8"/>
    <w:rsid w:val="00450CBE"/>
    <w:rsid w:val="005569C4"/>
    <w:rsid w:val="00577E1E"/>
    <w:rsid w:val="005E5899"/>
    <w:rsid w:val="00603982"/>
    <w:rsid w:val="00616C95"/>
    <w:rsid w:val="00624580"/>
    <w:rsid w:val="006510CB"/>
    <w:rsid w:val="00675FBA"/>
    <w:rsid w:val="007A6CBE"/>
    <w:rsid w:val="007F09DB"/>
    <w:rsid w:val="007F1BE9"/>
    <w:rsid w:val="007F37AD"/>
    <w:rsid w:val="00803297"/>
    <w:rsid w:val="00853E4B"/>
    <w:rsid w:val="00863737"/>
    <w:rsid w:val="008E3BD8"/>
    <w:rsid w:val="00942BAA"/>
    <w:rsid w:val="0097709A"/>
    <w:rsid w:val="00982902"/>
    <w:rsid w:val="00997E63"/>
    <w:rsid w:val="009A713F"/>
    <w:rsid w:val="009C7D8B"/>
    <w:rsid w:val="00B354B8"/>
    <w:rsid w:val="00B71C73"/>
    <w:rsid w:val="00B90A85"/>
    <w:rsid w:val="00BC015E"/>
    <w:rsid w:val="00BE7742"/>
    <w:rsid w:val="00C473D2"/>
    <w:rsid w:val="00D447A7"/>
    <w:rsid w:val="00D517DE"/>
    <w:rsid w:val="00D57381"/>
    <w:rsid w:val="00DE2434"/>
    <w:rsid w:val="00E03994"/>
    <w:rsid w:val="00E32A66"/>
    <w:rsid w:val="00FA26B2"/>
    <w:rsid w:val="00FA653C"/>
    <w:rsid w:val="00FC20C8"/>
    <w:rsid w:val="00FE4E27"/>
    <w:rsid w:val="00FE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F6CC1"/>
  <w15:docId w15:val="{6DD720F7-76E6-44B9-8F07-4818270E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3737"/>
    <w:pPr>
      <w:spacing w:after="60"/>
      <w:jc w:val="both"/>
    </w:pPr>
    <w:rPr>
      <w:rFonts w:ascii="StempelGaramond Roman" w:hAnsi="StempelGaramond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semiHidden/>
    <w:rsid w:val="00E03994"/>
    <w:pPr>
      <w:tabs>
        <w:tab w:val="right" w:leader="dot" w:pos="6123"/>
      </w:tabs>
      <w:suppressAutoHyphens/>
      <w:spacing w:before="240"/>
      <w:ind w:right="1134"/>
      <w:jc w:val="left"/>
    </w:pPr>
    <w:rPr>
      <w:rFonts w:eastAsia="Times New Roman"/>
      <w:b/>
      <w:noProof/>
      <w:kern w:val="20"/>
      <w:sz w:val="22"/>
      <w:lang w:val="de-DE" w:eastAsia="de-DE"/>
    </w:rPr>
  </w:style>
  <w:style w:type="paragraph" w:styleId="Index1">
    <w:name w:val="index 1"/>
    <w:basedOn w:val="Normal"/>
    <w:next w:val="Normal"/>
    <w:semiHidden/>
    <w:rsid w:val="00C473D2"/>
    <w:pPr>
      <w:tabs>
        <w:tab w:val="left" w:pos="227"/>
      </w:tabs>
      <w:spacing w:after="0"/>
      <w:ind w:left="227" w:hanging="227"/>
      <w:jc w:val="left"/>
    </w:pPr>
    <w:rPr>
      <w:rFonts w:eastAsia="Times New Roman"/>
      <w:kern w:val="20"/>
      <w:lang w:val="de-DE" w:eastAsia="de-DE"/>
    </w:rPr>
  </w:style>
  <w:style w:type="character" w:styleId="FootnoteReference">
    <w:name w:val="footnote reference"/>
    <w:semiHidden/>
    <w:qFormat/>
    <w:rsid w:val="00330AC1"/>
    <w:rPr>
      <w:rFonts w:ascii="ClassGarmnd BT" w:hAnsi="ClassGarmnd BT"/>
      <w:color w:val="auto"/>
      <w:sz w:val="20"/>
      <w:u w:val="none"/>
      <w:vertAlign w:val="superscript"/>
    </w:rPr>
  </w:style>
  <w:style w:type="paragraph" w:styleId="FootnoteText">
    <w:name w:val="footnote text"/>
    <w:basedOn w:val="Normal"/>
    <w:link w:val="FootnoteTextChar"/>
    <w:semiHidden/>
    <w:rsid w:val="00330AC1"/>
    <w:pPr>
      <w:tabs>
        <w:tab w:val="left" w:pos="454"/>
      </w:tabs>
      <w:ind w:firstLine="170"/>
    </w:pPr>
    <w:rPr>
      <w:rFonts w:eastAsia="Times New Roman"/>
      <w:kern w:val="16"/>
      <w:sz w:val="18"/>
      <w:lang w:val="de-DE" w:eastAsia="de-DE"/>
    </w:rPr>
  </w:style>
  <w:style w:type="character" w:customStyle="1" w:styleId="FootnoteTextChar">
    <w:name w:val="Footnote Text Char"/>
    <w:basedOn w:val="DefaultParagraphFont"/>
    <w:link w:val="FootnoteText"/>
    <w:semiHidden/>
    <w:rsid w:val="00330AC1"/>
    <w:rPr>
      <w:rFonts w:ascii="StempelGaramond Roman" w:eastAsia="Times New Roman" w:hAnsi="StempelGaramond Roman"/>
      <w:kern w:val="16"/>
      <w:sz w:val="18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0C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0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4E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E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7F9E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37F9E"/>
    <w:rPr>
      <w:rFonts w:ascii="StempelGaramond Roman" w:hAnsi="StempelGaramond Roman"/>
    </w:rPr>
  </w:style>
  <w:style w:type="paragraph" w:styleId="Footer">
    <w:name w:val="footer"/>
    <w:basedOn w:val="Normal"/>
    <w:link w:val="FooterChar"/>
    <w:uiPriority w:val="99"/>
    <w:unhideWhenUsed/>
    <w:rsid w:val="00337F9E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37F9E"/>
    <w:rPr>
      <w:rFonts w:ascii="StempelGaramond Roman" w:hAnsi="StempelGaramond Roman"/>
    </w:rPr>
  </w:style>
  <w:style w:type="paragraph" w:styleId="ListParagraph">
    <w:name w:val="List Paragraph"/>
    <w:basedOn w:val="Normal"/>
    <w:uiPriority w:val="34"/>
    <w:qFormat/>
    <w:rsid w:val="00FC20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1C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1C73"/>
  </w:style>
  <w:style w:type="character" w:customStyle="1" w:styleId="CommentTextChar">
    <w:name w:val="Comment Text Char"/>
    <w:basedOn w:val="DefaultParagraphFont"/>
    <w:link w:val="CommentText"/>
    <w:uiPriority w:val="99"/>
    <w:rsid w:val="00B71C73"/>
    <w:rPr>
      <w:rFonts w:ascii="StempelGaramond Roman" w:hAnsi="StempelGaramond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C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C73"/>
    <w:rPr>
      <w:rFonts w:ascii="StempelGaramond Roman" w:hAnsi="StempelGaramond Roman"/>
      <w:b/>
      <w:bCs/>
    </w:rPr>
  </w:style>
  <w:style w:type="paragraph" w:styleId="Revision">
    <w:name w:val="Revision"/>
    <w:hidden/>
    <w:uiPriority w:val="99"/>
    <w:semiHidden/>
    <w:rsid w:val="000E22AC"/>
    <w:rPr>
      <w:rFonts w:ascii="StempelGaramond Roman" w:hAnsi="StempelGaramond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azzotti@mpil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.europa.eu/en/publication-detail/-/publication/88c3f547-6ed0-11ed-9887-01aa75ed71a1/language-en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8CD03-8D66-4C11-BBB9-4F23D031A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MPI Völkerrecht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Schmidt, Angelika</dc:creator>
  <cp:lastModifiedBy>Mazzotti, Paolo</cp:lastModifiedBy>
  <cp:revision>6</cp:revision>
  <dcterms:created xsi:type="dcterms:W3CDTF">2023-09-01T10:30:00Z</dcterms:created>
  <dcterms:modified xsi:type="dcterms:W3CDTF">2023-09-04T15:23:00Z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2a7f00d6729f8799bd3fbd4c3872e67b4d6d35a6a4b9ad723b9415ef21d9eaa1</vt:lpwstr>
  </property>
</Properties>
</file>